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77C4C" w14:textId="7BD3C5B3" w:rsidR="00CE199F" w:rsidRPr="00CA4264" w:rsidRDefault="00CE199F" w:rsidP="00CA4264">
      <w:pPr>
        <w:jc w:val="center"/>
        <w:rPr>
          <w:b/>
          <w:sz w:val="28"/>
        </w:rPr>
      </w:pPr>
      <w:r w:rsidRPr="00CA4264">
        <w:rPr>
          <w:b/>
          <w:sz w:val="28"/>
        </w:rPr>
        <w:t>Directive pour la gestion électroni</w:t>
      </w:r>
      <w:r w:rsidR="00CA4264" w:rsidRPr="00CA4264">
        <w:rPr>
          <w:b/>
          <w:sz w:val="28"/>
        </w:rPr>
        <w:t>qu</w:t>
      </w:r>
      <w:r w:rsidRPr="00CA4264">
        <w:rPr>
          <w:b/>
          <w:sz w:val="28"/>
        </w:rPr>
        <w:t>e des documents, affaires et archivage</w:t>
      </w:r>
    </w:p>
    <w:p w14:paraId="6EF84B78" w14:textId="77777777" w:rsidR="00CE199F" w:rsidRPr="00CA4264" w:rsidRDefault="00CE199F" w:rsidP="00CA4264">
      <w:pPr>
        <w:jc w:val="center"/>
        <w:rPr>
          <w:b/>
        </w:rPr>
      </w:pPr>
      <w:r w:rsidRPr="00CA4264">
        <w:rPr>
          <w:b/>
        </w:rPr>
        <w:t xml:space="preserve">Adoptée par la Commune de </w:t>
      </w:r>
      <w:r w:rsidRPr="00CA4264">
        <w:rPr>
          <w:b/>
          <w:color w:val="538135" w:themeColor="accent6" w:themeShade="BF"/>
        </w:rPr>
        <w:t>[Nom de la commune]</w:t>
      </w:r>
    </w:p>
    <w:p w14:paraId="46742EF5" w14:textId="77777777" w:rsidR="00CE199F" w:rsidRPr="00CA4264" w:rsidRDefault="00CE199F" w:rsidP="00CA4264">
      <w:pPr>
        <w:jc w:val="center"/>
        <w:rPr>
          <w:b/>
        </w:rPr>
      </w:pPr>
      <w:r w:rsidRPr="00CA4264">
        <w:rPr>
          <w:b/>
        </w:rPr>
        <w:t xml:space="preserve">Entrée en vigueur : </w:t>
      </w:r>
      <w:r w:rsidRPr="00CA4264">
        <w:rPr>
          <w:b/>
          <w:color w:val="538135" w:themeColor="accent6" w:themeShade="BF"/>
        </w:rPr>
        <w:t>[Date d’entrée en vigueur]</w:t>
      </w:r>
    </w:p>
    <w:p w14:paraId="53C33BDE" w14:textId="77777777" w:rsidR="00E1004B" w:rsidRDefault="00E1004B"/>
    <w:p w14:paraId="7001B276" w14:textId="0B799E86" w:rsidR="00CA4264" w:rsidRPr="00E1004B" w:rsidRDefault="00CA4264">
      <w:pPr>
        <w:rPr>
          <w:color w:val="2F5496" w:themeColor="accent1" w:themeShade="BF"/>
          <w:sz w:val="32"/>
          <w:szCs w:val="32"/>
        </w:rPr>
      </w:pPr>
      <w:r w:rsidRPr="00E1004B">
        <w:rPr>
          <w:color w:val="2F5496" w:themeColor="accent1" w:themeShade="BF"/>
          <w:sz w:val="32"/>
          <w:szCs w:val="32"/>
        </w:rPr>
        <w:t>Table des matières</w:t>
      </w:r>
    </w:p>
    <w:p w14:paraId="7676CC1D" w14:textId="2B057B66" w:rsidR="00E1004B" w:rsidRDefault="00E1004B">
      <w:pPr>
        <w:pStyle w:val="TM1"/>
        <w:tabs>
          <w:tab w:val="left" w:pos="440"/>
          <w:tab w:val="right" w:leader="dot" w:pos="9016"/>
        </w:tabs>
        <w:rPr>
          <w:noProof/>
        </w:rPr>
      </w:pPr>
      <w:r>
        <w:fldChar w:fldCharType="begin"/>
      </w:r>
      <w:r>
        <w:instrText xml:space="preserve"> TOC \o "1-2" \h \z \u </w:instrText>
      </w:r>
      <w:r>
        <w:fldChar w:fldCharType="separate"/>
      </w:r>
      <w:hyperlink w:anchor="_Toc221536436" w:history="1">
        <w:r w:rsidRPr="0033455D">
          <w:rPr>
            <w:rStyle w:val="Lienhypertexte"/>
            <w:noProof/>
          </w:rPr>
          <w:t>1</w:t>
        </w:r>
        <w:r>
          <w:rPr>
            <w:noProof/>
          </w:rPr>
          <w:tab/>
        </w:r>
        <w:r w:rsidRPr="0033455D">
          <w:rPr>
            <w:rStyle w:val="Lienhypertexte"/>
            <w:noProof/>
          </w:rPr>
          <w:t>Objectif</w:t>
        </w:r>
        <w:r>
          <w:rPr>
            <w:noProof/>
            <w:webHidden/>
          </w:rPr>
          <w:tab/>
        </w:r>
        <w:r>
          <w:rPr>
            <w:noProof/>
            <w:webHidden/>
          </w:rPr>
          <w:fldChar w:fldCharType="begin"/>
        </w:r>
        <w:r>
          <w:rPr>
            <w:noProof/>
            <w:webHidden/>
          </w:rPr>
          <w:instrText xml:space="preserve"> PAGEREF _Toc221536436 \h </w:instrText>
        </w:r>
        <w:r>
          <w:rPr>
            <w:noProof/>
            <w:webHidden/>
          </w:rPr>
        </w:r>
        <w:r>
          <w:rPr>
            <w:noProof/>
            <w:webHidden/>
          </w:rPr>
          <w:fldChar w:fldCharType="separate"/>
        </w:r>
        <w:r>
          <w:rPr>
            <w:noProof/>
            <w:webHidden/>
          </w:rPr>
          <w:t>2</w:t>
        </w:r>
        <w:r>
          <w:rPr>
            <w:noProof/>
            <w:webHidden/>
          </w:rPr>
          <w:fldChar w:fldCharType="end"/>
        </w:r>
      </w:hyperlink>
    </w:p>
    <w:p w14:paraId="4681684D" w14:textId="6B8F9864" w:rsidR="00E1004B" w:rsidRDefault="00802786">
      <w:pPr>
        <w:pStyle w:val="TM1"/>
        <w:tabs>
          <w:tab w:val="left" w:pos="440"/>
          <w:tab w:val="right" w:leader="dot" w:pos="9016"/>
        </w:tabs>
        <w:rPr>
          <w:noProof/>
        </w:rPr>
      </w:pPr>
      <w:hyperlink w:anchor="_Toc221536437" w:history="1">
        <w:r w:rsidR="00E1004B" w:rsidRPr="0033455D">
          <w:rPr>
            <w:rStyle w:val="Lienhypertexte"/>
            <w:noProof/>
          </w:rPr>
          <w:t>2</w:t>
        </w:r>
        <w:r w:rsidR="00E1004B">
          <w:rPr>
            <w:noProof/>
          </w:rPr>
          <w:tab/>
        </w:r>
        <w:r w:rsidR="00E1004B" w:rsidRPr="0033455D">
          <w:rPr>
            <w:rStyle w:val="Lienhypertexte"/>
            <w:noProof/>
          </w:rPr>
          <w:t>Principes fondamentaux</w:t>
        </w:r>
        <w:r w:rsidR="00E1004B">
          <w:rPr>
            <w:noProof/>
            <w:webHidden/>
          </w:rPr>
          <w:tab/>
        </w:r>
        <w:r w:rsidR="00E1004B">
          <w:rPr>
            <w:noProof/>
            <w:webHidden/>
          </w:rPr>
          <w:fldChar w:fldCharType="begin"/>
        </w:r>
        <w:r w:rsidR="00E1004B">
          <w:rPr>
            <w:noProof/>
            <w:webHidden/>
          </w:rPr>
          <w:instrText xml:space="preserve"> PAGEREF _Toc221536437 \h </w:instrText>
        </w:r>
        <w:r w:rsidR="00E1004B">
          <w:rPr>
            <w:noProof/>
            <w:webHidden/>
          </w:rPr>
        </w:r>
        <w:r w:rsidR="00E1004B">
          <w:rPr>
            <w:noProof/>
            <w:webHidden/>
          </w:rPr>
          <w:fldChar w:fldCharType="separate"/>
        </w:r>
        <w:r w:rsidR="00E1004B">
          <w:rPr>
            <w:noProof/>
            <w:webHidden/>
          </w:rPr>
          <w:t>2</w:t>
        </w:r>
        <w:r w:rsidR="00E1004B">
          <w:rPr>
            <w:noProof/>
            <w:webHidden/>
          </w:rPr>
          <w:fldChar w:fldCharType="end"/>
        </w:r>
      </w:hyperlink>
    </w:p>
    <w:p w14:paraId="6D8B1DDF" w14:textId="0660B3F6" w:rsidR="00E1004B" w:rsidRDefault="00802786">
      <w:pPr>
        <w:pStyle w:val="TM2"/>
        <w:tabs>
          <w:tab w:val="left" w:pos="880"/>
          <w:tab w:val="right" w:leader="dot" w:pos="9016"/>
        </w:tabs>
        <w:rPr>
          <w:noProof/>
        </w:rPr>
      </w:pPr>
      <w:hyperlink w:anchor="_Toc221536438" w:history="1">
        <w:r w:rsidR="00E1004B" w:rsidRPr="0033455D">
          <w:rPr>
            <w:rStyle w:val="Lienhypertexte"/>
            <w:noProof/>
          </w:rPr>
          <w:t>2.1</w:t>
        </w:r>
        <w:r w:rsidR="00E1004B">
          <w:rPr>
            <w:noProof/>
          </w:rPr>
          <w:tab/>
        </w:r>
        <w:r w:rsidR="00E1004B" w:rsidRPr="0033455D">
          <w:rPr>
            <w:rStyle w:val="Lienhypertexte"/>
            <w:noProof/>
          </w:rPr>
          <w:t>Primauté du dossier électronique</w:t>
        </w:r>
        <w:r w:rsidR="00E1004B">
          <w:rPr>
            <w:noProof/>
            <w:webHidden/>
          </w:rPr>
          <w:tab/>
        </w:r>
        <w:r w:rsidR="00E1004B">
          <w:rPr>
            <w:noProof/>
            <w:webHidden/>
          </w:rPr>
          <w:fldChar w:fldCharType="begin"/>
        </w:r>
        <w:r w:rsidR="00E1004B">
          <w:rPr>
            <w:noProof/>
            <w:webHidden/>
          </w:rPr>
          <w:instrText xml:space="preserve"> PAGEREF _Toc221536438 \h </w:instrText>
        </w:r>
        <w:r w:rsidR="00E1004B">
          <w:rPr>
            <w:noProof/>
            <w:webHidden/>
          </w:rPr>
        </w:r>
        <w:r w:rsidR="00E1004B">
          <w:rPr>
            <w:noProof/>
            <w:webHidden/>
          </w:rPr>
          <w:fldChar w:fldCharType="separate"/>
        </w:r>
        <w:r w:rsidR="00E1004B">
          <w:rPr>
            <w:noProof/>
            <w:webHidden/>
          </w:rPr>
          <w:t>2</w:t>
        </w:r>
        <w:r w:rsidR="00E1004B">
          <w:rPr>
            <w:noProof/>
            <w:webHidden/>
          </w:rPr>
          <w:fldChar w:fldCharType="end"/>
        </w:r>
      </w:hyperlink>
    </w:p>
    <w:p w14:paraId="0D05F44B" w14:textId="202A973E" w:rsidR="00E1004B" w:rsidRDefault="00802786">
      <w:pPr>
        <w:pStyle w:val="TM2"/>
        <w:tabs>
          <w:tab w:val="left" w:pos="880"/>
          <w:tab w:val="right" w:leader="dot" w:pos="9016"/>
        </w:tabs>
        <w:rPr>
          <w:noProof/>
        </w:rPr>
      </w:pPr>
      <w:hyperlink w:anchor="_Toc221536439" w:history="1">
        <w:r w:rsidR="00E1004B" w:rsidRPr="0033455D">
          <w:rPr>
            <w:rStyle w:val="Lienhypertexte"/>
            <w:noProof/>
          </w:rPr>
          <w:t>2.2</w:t>
        </w:r>
        <w:r w:rsidR="00E1004B">
          <w:rPr>
            <w:noProof/>
          </w:rPr>
          <w:tab/>
        </w:r>
        <w:r w:rsidR="00E1004B" w:rsidRPr="0033455D">
          <w:rPr>
            <w:rStyle w:val="Lienhypertexte"/>
            <w:noProof/>
          </w:rPr>
          <w:t>Cycle de vie des documents</w:t>
        </w:r>
        <w:r w:rsidR="00E1004B">
          <w:rPr>
            <w:noProof/>
            <w:webHidden/>
          </w:rPr>
          <w:tab/>
        </w:r>
        <w:r w:rsidR="00E1004B">
          <w:rPr>
            <w:noProof/>
            <w:webHidden/>
          </w:rPr>
          <w:fldChar w:fldCharType="begin"/>
        </w:r>
        <w:r w:rsidR="00E1004B">
          <w:rPr>
            <w:noProof/>
            <w:webHidden/>
          </w:rPr>
          <w:instrText xml:space="preserve"> PAGEREF _Toc221536439 \h </w:instrText>
        </w:r>
        <w:r w:rsidR="00E1004B">
          <w:rPr>
            <w:noProof/>
            <w:webHidden/>
          </w:rPr>
        </w:r>
        <w:r w:rsidR="00E1004B">
          <w:rPr>
            <w:noProof/>
            <w:webHidden/>
          </w:rPr>
          <w:fldChar w:fldCharType="separate"/>
        </w:r>
        <w:r w:rsidR="00E1004B">
          <w:rPr>
            <w:noProof/>
            <w:webHidden/>
          </w:rPr>
          <w:t>2</w:t>
        </w:r>
        <w:r w:rsidR="00E1004B">
          <w:rPr>
            <w:noProof/>
            <w:webHidden/>
          </w:rPr>
          <w:fldChar w:fldCharType="end"/>
        </w:r>
      </w:hyperlink>
    </w:p>
    <w:p w14:paraId="38799386" w14:textId="469411FF" w:rsidR="00E1004B" w:rsidRDefault="00802786">
      <w:pPr>
        <w:pStyle w:val="TM2"/>
        <w:tabs>
          <w:tab w:val="left" w:pos="880"/>
          <w:tab w:val="right" w:leader="dot" w:pos="9016"/>
        </w:tabs>
        <w:rPr>
          <w:noProof/>
        </w:rPr>
      </w:pPr>
      <w:hyperlink w:anchor="_Toc221536440" w:history="1">
        <w:r w:rsidR="00E1004B" w:rsidRPr="0033455D">
          <w:rPr>
            <w:rStyle w:val="Lienhypertexte"/>
            <w:noProof/>
          </w:rPr>
          <w:t>2.3</w:t>
        </w:r>
        <w:r w:rsidR="00E1004B">
          <w:rPr>
            <w:noProof/>
          </w:rPr>
          <w:tab/>
        </w:r>
        <w:r w:rsidR="00E1004B" w:rsidRPr="0033455D">
          <w:rPr>
            <w:rStyle w:val="Lienhypertexte"/>
            <w:noProof/>
          </w:rPr>
          <w:t>Métadonnées : le cœur du système</w:t>
        </w:r>
        <w:r w:rsidR="00E1004B">
          <w:rPr>
            <w:noProof/>
            <w:webHidden/>
          </w:rPr>
          <w:tab/>
        </w:r>
        <w:r w:rsidR="00E1004B">
          <w:rPr>
            <w:noProof/>
            <w:webHidden/>
          </w:rPr>
          <w:fldChar w:fldCharType="begin"/>
        </w:r>
        <w:r w:rsidR="00E1004B">
          <w:rPr>
            <w:noProof/>
            <w:webHidden/>
          </w:rPr>
          <w:instrText xml:space="preserve"> PAGEREF _Toc221536440 \h </w:instrText>
        </w:r>
        <w:r w:rsidR="00E1004B">
          <w:rPr>
            <w:noProof/>
            <w:webHidden/>
          </w:rPr>
        </w:r>
        <w:r w:rsidR="00E1004B">
          <w:rPr>
            <w:noProof/>
            <w:webHidden/>
          </w:rPr>
          <w:fldChar w:fldCharType="separate"/>
        </w:r>
        <w:r w:rsidR="00E1004B">
          <w:rPr>
            <w:noProof/>
            <w:webHidden/>
          </w:rPr>
          <w:t>2</w:t>
        </w:r>
        <w:r w:rsidR="00E1004B">
          <w:rPr>
            <w:noProof/>
            <w:webHidden/>
          </w:rPr>
          <w:fldChar w:fldCharType="end"/>
        </w:r>
      </w:hyperlink>
    </w:p>
    <w:p w14:paraId="2B1D50F3" w14:textId="1794FFC3" w:rsidR="00E1004B" w:rsidRDefault="00802786">
      <w:pPr>
        <w:pStyle w:val="TM2"/>
        <w:tabs>
          <w:tab w:val="left" w:pos="880"/>
          <w:tab w:val="right" w:leader="dot" w:pos="9016"/>
        </w:tabs>
        <w:rPr>
          <w:noProof/>
        </w:rPr>
      </w:pPr>
      <w:hyperlink w:anchor="_Toc221536441" w:history="1">
        <w:r w:rsidR="00E1004B" w:rsidRPr="0033455D">
          <w:rPr>
            <w:rStyle w:val="Lienhypertexte"/>
            <w:noProof/>
          </w:rPr>
          <w:t>2.4</w:t>
        </w:r>
        <w:r w:rsidR="00E1004B">
          <w:rPr>
            <w:noProof/>
          </w:rPr>
          <w:tab/>
        </w:r>
        <w:r w:rsidR="00E1004B" w:rsidRPr="0033455D">
          <w:rPr>
            <w:rStyle w:val="Lienhypertexte"/>
            <w:noProof/>
          </w:rPr>
          <w:t>Droits d’accès : par rôles, pas par individus</w:t>
        </w:r>
        <w:r w:rsidR="00E1004B">
          <w:rPr>
            <w:noProof/>
            <w:webHidden/>
          </w:rPr>
          <w:tab/>
        </w:r>
        <w:r w:rsidR="00E1004B">
          <w:rPr>
            <w:noProof/>
            <w:webHidden/>
          </w:rPr>
          <w:fldChar w:fldCharType="begin"/>
        </w:r>
        <w:r w:rsidR="00E1004B">
          <w:rPr>
            <w:noProof/>
            <w:webHidden/>
          </w:rPr>
          <w:instrText xml:space="preserve"> PAGEREF _Toc221536441 \h </w:instrText>
        </w:r>
        <w:r w:rsidR="00E1004B">
          <w:rPr>
            <w:noProof/>
            <w:webHidden/>
          </w:rPr>
        </w:r>
        <w:r w:rsidR="00E1004B">
          <w:rPr>
            <w:noProof/>
            <w:webHidden/>
          </w:rPr>
          <w:fldChar w:fldCharType="separate"/>
        </w:r>
        <w:r w:rsidR="00E1004B">
          <w:rPr>
            <w:noProof/>
            <w:webHidden/>
          </w:rPr>
          <w:t>3</w:t>
        </w:r>
        <w:r w:rsidR="00E1004B">
          <w:rPr>
            <w:noProof/>
            <w:webHidden/>
          </w:rPr>
          <w:fldChar w:fldCharType="end"/>
        </w:r>
      </w:hyperlink>
    </w:p>
    <w:p w14:paraId="1EB748E1" w14:textId="7CFB4590" w:rsidR="00E1004B" w:rsidRDefault="00802786">
      <w:pPr>
        <w:pStyle w:val="TM2"/>
        <w:tabs>
          <w:tab w:val="left" w:pos="880"/>
          <w:tab w:val="right" w:leader="dot" w:pos="9016"/>
        </w:tabs>
        <w:rPr>
          <w:noProof/>
        </w:rPr>
      </w:pPr>
      <w:hyperlink w:anchor="_Toc221536442" w:history="1">
        <w:r w:rsidR="00E1004B" w:rsidRPr="0033455D">
          <w:rPr>
            <w:rStyle w:val="Lienhypertexte"/>
            <w:noProof/>
          </w:rPr>
          <w:t>2.5</w:t>
        </w:r>
        <w:r w:rsidR="00E1004B">
          <w:rPr>
            <w:noProof/>
          </w:rPr>
          <w:tab/>
        </w:r>
        <w:r w:rsidR="00E1004B" w:rsidRPr="0033455D">
          <w:rPr>
            <w:rStyle w:val="Lienhypertexte"/>
            <w:noProof/>
          </w:rPr>
          <w:t>Système de classement : simple, cohérent, évolutif</w:t>
        </w:r>
        <w:r w:rsidR="00E1004B">
          <w:rPr>
            <w:noProof/>
            <w:webHidden/>
          </w:rPr>
          <w:tab/>
        </w:r>
        <w:r w:rsidR="00E1004B">
          <w:rPr>
            <w:noProof/>
            <w:webHidden/>
          </w:rPr>
          <w:fldChar w:fldCharType="begin"/>
        </w:r>
        <w:r w:rsidR="00E1004B">
          <w:rPr>
            <w:noProof/>
            <w:webHidden/>
          </w:rPr>
          <w:instrText xml:space="preserve"> PAGEREF _Toc221536442 \h </w:instrText>
        </w:r>
        <w:r w:rsidR="00E1004B">
          <w:rPr>
            <w:noProof/>
            <w:webHidden/>
          </w:rPr>
        </w:r>
        <w:r w:rsidR="00E1004B">
          <w:rPr>
            <w:noProof/>
            <w:webHidden/>
          </w:rPr>
          <w:fldChar w:fldCharType="separate"/>
        </w:r>
        <w:r w:rsidR="00E1004B">
          <w:rPr>
            <w:noProof/>
            <w:webHidden/>
          </w:rPr>
          <w:t>3</w:t>
        </w:r>
        <w:r w:rsidR="00E1004B">
          <w:rPr>
            <w:noProof/>
            <w:webHidden/>
          </w:rPr>
          <w:fldChar w:fldCharType="end"/>
        </w:r>
      </w:hyperlink>
    </w:p>
    <w:p w14:paraId="7873A7F7" w14:textId="7B262CED" w:rsidR="00E1004B" w:rsidRDefault="00802786">
      <w:pPr>
        <w:pStyle w:val="TM2"/>
        <w:tabs>
          <w:tab w:val="left" w:pos="880"/>
          <w:tab w:val="right" w:leader="dot" w:pos="9016"/>
        </w:tabs>
        <w:rPr>
          <w:noProof/>
        </w:rPr>
      </w:pPr>
      <w:hyperlink w:anchor="_Toc221536443" w:history="1">
        <w:r w:rsidR="00E1004B" w:rsidRPr="0033455D">
          <w:rPr>
            <w:rStyle w:val="Lienhypertexte"/>
            <w:noProof/>
          </w:rPr>
          <w:t>2.6</w:t>
        </w:r>
        <w:r w:rsidR="00E1004B">
          <w:rPr>
            <w:noProof/>
          </w:rPr>
          <w:tab/>
        </w:r>
        <w:r w:rsidR="00E1004B" w:rsidRPr="0033455D">
          <w:rPr>
            <w:rStyle w:val="Lienhypertexte"/>
            <w:noProof/>
          </w:rPr>
          <w:t>Protection des données</w:t>
        </w:r>
        <w:r w:rsidR="00E1004B">
          <w:rPr>
            <w:noProof/>
            <w:webHidden/>
          </w:rPr>
          <w:tab/>
        </w:r>
        <w:r w:rsidR="00E1004B">
          <w:rPr>
            <w:noProof/>
            <w:webHidden/>
          </w:rPr>
          <w:fldChar w:fldCharType="begin"/>
        </w:r>
        <w:r w:rsidR="00E1004B">
          <w:rPr>
            <w:noProof/>
            <w:webHidden/>
          </w:rPr>
          <w:instrText xml:space="preserve"> PAGEREF _Toc221536443 \h </w:instrText>
        </w:r>
        <w:r w:rsidR="00E1004B">
          <w:rPr>
            <w:noProof/>
            <w:webHidden/>
          </w:rPr>
        </w:r>
        <w:r w:rsidR="00E1004B">
          <w:rPr>
            <w:noProof/>
            <w:webHidden/>
          </w:rPr>
          <w:fldChar w:fldCharType="separate"/>
        </w:r>
        <w:r w:rsidR="00E1004B">
          <w:rPr>
            <w:noProof/>
            <w:webHidden/>
          </w:rPr>
          <w:t>4</w:t>
        </w:r>
        <w:r w:rsidR="00E1004B">
          <w:rPr>
            <w:noProof/>
            <w:webHidden/>
          </w:rPr>
          <w:fldChar w:fldCharType="end"/>
        </w:r>
      </w:hyperlink>
    </w:p>
    <w:p w14:paraId="07FFB2D5" w14:textId="33CD9B7A" w:rsidR="00E1004B" w:rsidRDefault="00802786">
      <w:pPr>
        <w:pStyle w:val="TM1"/>
        <w:tabs>
          <w:tab w:val="left" w:pos="440"/>
          <w:tab w:val="right" w:leader="dot" w:pos="9016"/>
        </w:tabs>
        <w:rPr>
          <w:noProof/>
        </w:rPr>
      </w:pPr>
      <w:hyperlink w:anchor="_Toc221536444" w:history="1">
        <w:r w:rsidR="00E1004B" w:rsidRPr="0033455D">
          <w:rPr>
            <w:rStyle w:val="Lienhypertexte"/>
            <w:noProof/>
          </w:rPr>
          <w:t>3</w:t>
        </w:r>
        <w:r w:rsidR="00E1004B">
          <w:rPr>
            <w:noProof/>
          </w:rPr>
          <w:tab/>
        </w:r>
        <w:r w:rsidR="00E1004B" w:rsidRPr="0033455D">
          <w:rPr>
            <w:rStyle w:val="Lienhypertexte"/>
            <w:noProof/>
          </w:rPr>
          <w:t>Organisation : rôles et responsabilités</w:t>
        </w:r>
        <w:r w:rsidR="00E1004B">
          <w:rPr>
            <w:noProof/>
            <w:webHidden/>
          </w:rPr>
          <w:tab/>
        </w:r>
        <w:r w:rsidR="00E1004B">
          <w:rPr>
            <w:noProof/>
            <w:webHidden/>
          </w:rPr>
          <w:fldChar w:fldCharType="begin"/>
        </w:r>
        <w:r w:rsidR="00E1004B">
          <w:rPr>
            <w:noProof/>
            <w:webHidden/>
          </w:rPr>
          <w:instrText xml:space="preserve"> PAGEREF _Toc221536444 \h </w:instrText>
        </w:r>
        <w:r w:rsidR="00E1004B">
          <w:rPr>
            <w:noProof/>
            <w:webHidden/>
          </w:rPr>
        </w:r>
        <w:r w:rsidR="00E1004B">
          <w:rPr>
            <w:noProof/>
            <w:webHidden/>
          </w:rPr>
          <w:fldChar w:fldCharType="separate"/>
        </w:r>
        <w:r w:rsidR="00E1004B">
          <w:rPr>
            <w:noProof/>
            <w:webHidden/>
          </w:rPr>
          <w:t>4</w:t>
        </w:r>
        <w:r w:rsidR="00E1004B">
          <w:rPr>
            <w:noProof/>
            <w:webHidden/>
          </w:rPr>
          <w:fldChar w:fldCharType="end"/>
        </w:r>
      </w:hyperlink>
    </w:p>
    <w:p w14:paraId="777C51D8" w14:textId="23CC7D27" w:rsidR="00E1004B" w:rsidRDefault="00802786">
      <w:pPr>
        <w:pStyle w:val="TM1"/>
        <w:tabs>
          <w:tab w:val="left" w:pos="440"/>
          <w:tab w:val="right" w:leader="dot" w:pos="9016"/>
        </w:tabs>
        <w:rPr>
          <w:noProof/>
        </w:rPr>
      </w:pPr>
      <w:hyperlink w:anchor="_Toc221536445" w:history="1">
        <w:r w:rsidR="00E1004B" w:rsidRPr="0033455D">
          <w:rPr>
            <w:rStyle w:val="Lienhypertexte"/>
            <w:noProof/>
          </w:rPr>
          <w:t>4</w:t>
        </w:r>
        <w:r w:rsidR="00E1004B">
          <w:rPr>
            <w:noProof/>
          </w:rPr>
          <w:tab/>
        </w:r>
        <w:r w:rsidR="00E1004B" w:rsidRPr="0033455D">
          <w:rPr>
            <w:rStyle w:val="Lienhypertexte"/>
            <w:noProof/>
          </w:rPr>
          <w:t>Processus : de l’entrée à la destruction</w:t>
        </w:r>
        <w:r w:rsidR="00E1004B">
          <w:rPr>
            <w:noProof/>
            <w:webHidden/>
          </w:rPr>
          <w:tab/>
        </w:r>
        <w:r w:rsidR="00E1004B">
          <w:rPr>
            <w:noProof/>
            <w:webHidden/>
          </w:rPr>
          <w:fldChar w:fldCharType="begin"/>
        </w:r>
        <w:r w:rsidR="00E1004B">
          <w:rPr>
            <w:noProof/>
            <w:webHidden/>
          </w:rPr>
          <w:instrText xml:space="preserve"> PAGEREF _Toc221536445 \h </w:instrText>
        </w:r>
        <w:r w:rsidR="00E1004B">
          <w:rPr>
            <w:noProof/>
            <w:webHidden/>
          </w:rPr>
        </w:r>
        <w:r w:rsidR="00E1004B">
          <w:rPr>
            <w:noProof/>
            <w:webHidden/>
          </w:rPr>
          <w:fldChar w:fldCharType="separate"/>
        </w:r>
        <w:r w:rsidR="00E1004B">
          <w:rPr>
            <w:noProof/>
            <w:webHidden/>
          </w:rPr>
          <w:t>4</w:t>
        </w:r>
        <w:r w:rsidR="00E1004B">
          <w:rPr>
            <w:noProof/>
            <w:webHidden/>
          </w:rPr>
          <w:fldChar w:fldCharType="end"/>
        </w:r>
      </w:hyperlink>
    </w:p>
    <w:p w14:paraId="775CBBB5" w14:textId="1FBCF7F0" w:rsidR="00E1004B" w:rsidRDefault="00802786">
      <w:pPr>
        <w:pStyle w:val="TM2"/>
        <w:tabs>
          <w:tab w:val="left" w:pos="880"/>
          <w:tab w:val="right" w:leader="dot" w:pos="9016"/>
        </w:tabs>
        <w:rPr>
          <w:noProof/>
        </w:rPr>
      </w:pPr>
      <w:hyperlink w:anchor="_Toc221536446" w:history="1">
        <w:r w:rsidR="00E1004B" w:rsidRPr="0033455D">
          <w:rPr>
            <w:rStyle w:val="Lienhypertexte"/>
            <w:noProof/>
          </w:rPr>
          <w:t>4.1</w:t>
        </w:r>
        <w:r w:rsidR="00E1004B">
          <w:rPr>
            <w:noProof/>
          </w:rPr>
          <w:tab/>
        </w:r>
        <w:r w:rsidR="00E1004B" w:rsidRPr="0033455D">
          <w:rPr>
            <w:rStyle w:val="Lienhypertexte"/>
            <w:noProof/>
          </w:rPr>
          <w:t>Entrée des documents</w:t>
        </w:r>
        <w:r w:rsidR="00E1004B">
          <w:rPr>
            <w:noProof/>
            <w:webHidden/>
          </w:rPr>
          <w:tab/>
        </w:r>
        <w:r w:rsidR="00E1004B">
          <w:rPr>
            <w:noProof/>
            <w:webHidden/>
          </w:rPr>
          <w:fldChar w:fldCharType="begin"/>
        </w:r>
        <w:r w:rsidR="00E1004B">
          <w:rPr>
            <w:noProof/>
            <w:webHidden/>
          </w:rPr>
          <w:instrText xml:space="preserve"> PAGEREF _Toc221536446 \h </w:instrText>
        </w:r>
        <w:r w:rsidR="00E1004B">
          <w:rPr>
            <w:noProof/>
            <w:webHidden/>
          </w:rPr>
        </w:r>
        <w:r w:rsidR="00E1004B">
          <w:rPr>
            <w:noProof/>
            <w:webHidden/>
          </w:rPr>
          <w:fldChar w:fldCharType="separate"/>
        </w:r>
        <w:r w:rsidR="00E1004B">
          <w:rPr>
            <w:noProof/>
            <w:webHidden/>
          </w:rPr>
          <w:t>4</w:t>
        </w:r>
        <w:r w:rsidR="00E1004B">
          <w:rPr>
            <w:noProof/>
            <w:webHidden/>
          </w:rPr>
          <w:fldChar w:fldCharType="end"/>
        </w:r>
      </w:hyperlink>
    </w:p>
    <w:p w14:paraId="3B9A12DA" w14:textId="29AB034D" w:rsidR="00E1004B" w:rsidRDefault="00802786">
      <w:pPr>
        <w:pStyle w:val="TM2"/>
        <w:tabs>
          <w:tab w:val="left" w:pos="880"/>
          <w:tab w:val="right" w:leader="dot" w:pos="9016"/>
        </w:tabs>
        <w:rPr>
          <w:noProof/>
        </w:rPr>
      </w:pPr>
      <w:hyperlink w:anchor="_Toc221536447" w:history="1">
        <w:r w:rsidR="00E1004B" w:rsidRPr="0033455D">
          <w:rPr>
            <w:rStyle w:val="Lienhypertexte"/>
            <w:noProof/>
          </w:rPr>
          <w:t>4.2</w:t>
        </w:r>
        <w:r w:rsidR="00E1004B">
          <w:rPr>
            <w:noProof/>
          </w:rPr>
          <w:tab/>
        </w:r>
        <w:r w:rsidR="00E1004B" w:rsidRPr="0033455D">
          <w:rPr>
            <w:rStyle w:val="Lienhypertexte"/>
            <w:noProof/>
          </w:rPr>
          <w:t>Traitement des affaires</w:t>
        </w:r>
        <w:r w:rsidR="00E1004B">
          <w:rPr>
            <w:noProof/>
            <w:webHidden/>
          </w:rPr>
          <w:tab/>
        </w:r>
        <w:r w:rsidR="00E1004B">
          <w:rPr>
            <w:noProof/>
            <w:webHidden/>
          </w:rPr>
          <w:fldChar w:fldCharType="begin"/>
        </w:r>
        <w:r w:rsidR="00E1004B">
          <w:rPr>
            <w:noProof/>
            <w:webHidden/>
          </w:rPr>
          <w:instrText xml:space="preserve"> PAGEREF _Toc221536447 \h </w:instrText>
        </w:r>
        <w:r w:rsidR="00E1004B">
          <w:rPr>
            <w:noProof/>
            <w:webHidden/>
          </w:rPr>
        </w:r>
        <w:r w:rsidR="00E1004B">
          <w:rPr>
            <w:noProof/>
            <w:webHidden/>
          </w:rPr>
          <w:fldChar w:fldCharType="separate"/>
        </w:r>
        <w:r w:rsidR="00E1004B">
          <w:rPr>
            <w:noProof/>
            <w:webHidden/>
          </w:rPr>
          <w:t>5</w:t>
        </w:r>
        <w:r w:rsidR="00E1004B">
          <w:rPr>
            <w:noProof/>
            <w:webHidden/>
          </w:rPr>
          <w:fldChar w:fldCharType="end"/>
        </w:r>
      </w:hyperlink>
    </w:p>
    <w:p w14:paraId="20D21807" w14:textId="6F74BC27" w:rsidR="00E1004B" w:rsidRDefault="00802786">
      <w:pPr>
        <w:pStyle w:val="TM2"/>
        <w:tabs>
          <w:tab w:val="left" w:pos="880"/>
          <w:tab w:val="right" w:leader="dot" w:pos="9016"/>
        </w:tabs>
        <w:rPr>
          <w:noProof/>
        </w:rPr>
      </w:pPr>
      <w:hyperlink w:anchor="_Toc221536448" w:history="1">
        <w:r w:rsidR="00E1004B" w:rsidRPr="0033455D">
          <w:rPr>
            <w:rStyle w:val="Lienhypertexte"/>
            <w:noProof/>
          </w:rPr>
          <w:t>4.3</w:t>
        </w:r>
        <w:r w:rsidR="00E1004B">
          <w:rPr>
            <w:noProof/>
          </w:rPr>
          <w:tab/>
        </w:r>
        <w:r w:rsidR="00E1004B" w:rsidRPr="0033455D">
          <w:rPr>
            <w:rStyle w:val="Lienhypertexte"/>
            <w:noProof/>
          </w:rPr>
          <w:t>Clôture du dossier</w:t>
        </w:r>
        <w:r w:rsidR="00E1004B">
          <w:rPr>
            <w:noProof/>
            <w:webHidden/>
          </w:rPr>
          <w:tab/>
        </w:r>
        <w:r w:rsidR="00E1004B">
          <w:rPr>
            <w:noProof/>
            <w:webHidden/>
          </w:rPr>
          <w:fldChar w:fldCharType="begin"/>
        </w:r>
        <w:r w:rsidR="00E1004B">
          <w:rPr>
            <w:noProof/>
            <w:webHidden/>
          </w:rPr>
          <w:instrText xml:space="preserve"> PAGEREF _Toc221536448 \h </w:instrText>
        </w:r>
        <w:r w:rsidR="00E1004B">
          <w:rPr>
            <w:noProof/>
            <w:webHidden/>
          </w:rPr>
        </w:r>
        <w:r w:rsidR="00E1004B">
          <w:rPr>
            <w:noProof/>
            <w:webHidden/>
          </w:rPr>
          <w:fldChar w:fldCharType="separate"/>
        </w:r>
        <w:r w:rsidR="00E1004B">
          <w:rPr>
            <w:noProof/>
            <w:webHidden/>
          </w:rPr>
          <w:t>6</w:t>
        </w:r>
        <w:r w:rsidR="00E1004B">
          <w:rPr>
            <w:noProof/>
            <w:webHidden/>
          </w:rPr>
          <w:fldChar w:fldCharType="end"/>
        </w:r>
      </w:hyperlink>
    </w:p>
    <w:p w14:paraId="36F08E6C" w14:textId="3CD37EC1" w:rsidR="00E1004B" w:rsidRDefault="00802786">
      <w:pPr>
        <w:pStyle w:val="TM2"/>
        <w:tabs>
          <w:tab w:val="left" w:pos="880"/>
          <w:tab w:val="right" w:leader="dot" w:pos="9016"/>
        </w:tabs>
        <w:rPr>
          <w:noProof/>
        </w:rPr>
      </w:pPr>
      <w:hyperlink w:anchor="_Toc221536449" w:history="1">
        <w:r w:rsidR="00E1004B" w:rsidRPr="0033455D">
          <w:rPr>
            <w:rStyle w:val="Lienhypertexte"/>
            <w:noProof/>
          </w:rPr>
          <w:t>4.4</w:t>
        </w:r>
        <w:r w:rsidR="00E1004B">
          <w:rPr>
            <w:noProof/>
          </w:rPr>
          <w:tab/>
        </w:r>
        <w:r w:rsidR="00E1004B" w:rsidRPr="0033455D">
          <w:rPr>
            <w:rStyle w:val="Lienhypertexte"/>
            <w:noProof/>
          </w:rPr>
          <w:t>Archives intermédiaires</w:t>
        </w:r>
        <w:r w:rsidR="00E1004B">
          <w:rPr>
            <w:noProof/>
            <w:webHidden/>
          </w:rPr>
          <w:tab/>
        </w:r>
        <w:r w:rsidR="00E1004B">
          <w:rPr>
            <w:noProof/>
            <w:webHidden/>
          </w:rPr>
          <w:fldChar w:fldCharType="begin"/>
        </w:r>
        <w:r w:rsidR="00E1004B">
          <w:rPr>
            <w:noProof/>
            <w:webHidden/>
          </w:rPr>
          <w:instrText xml:space="preserve"> PAGEREF _Toc221536449 \h </w:instrText>
        </w:r>
        <w:r w:rsidR="00E1004B">
          <w:rPr>
            <w:noProof/>
            <w:webHidden/>
          </w:rPr>
        </w:r>
        <w:r w:rsidR="00E1004B">
          <w:rPr>
            <w:noProof/>
            <w:webHidden/>
          </w:rPr>
          <w:fldChar w:fldCharType="separate"/>
        </w:r>
        <w:r w:rsidR="00E1004B">
          <w:rPr>
            <w:noProof/>
            <w:webHidden/>
          </w:rPr>
          <w:t>6</w:t>
        </w:r>
        <w:r w:rsidR="00E1004B">
          <w:rPr>
            <w:noProof/>
            <w:webHidden/>
          </w:rPr>
          <w:fldChar w:fldCharType="end"/>
        </w:r>
      </w:hyperlink>
    </w:p>
    <w:p w14:paraId="4594A2D2" w14:textId="020963AA" w:rsidR="00E1004B" w:rsidRDefault="00802786">
      <w:pPr>
        <w:pStyle w:val="TM2"/>
        <w:tabs>
          <w:tab w:val="left" w:pos="880"/>
          <w:tab w:val="right" w:leader="dot" w:pos="9016"/>
        </w:tabs>
        <w:rPr>
          <w:noProof/>
        </w:rPr>
      </w:pPr>
      <w:hyperlink w:anchor="_Toc221536450" w:history="1">
        <w:r w:rsidR="00E1004B" w:rsidRPr="0033455D">
          <w:rPr>
            <w:rStyle w:val="Lienhypertexte"/>
            <w:noProof/>
          </w:rPr>
          <w:t>4.5</w:t>
        </w:r>
        <w:r w:rsidR="00E1004B">
          <w:rPr>
            <w:noProof/>
          </w:rPr>
          <w:tab/>
        </w:r>
        <w:r w:rsidR="00E1004B" w:rsidRPr="0033455D">
          <w:rPr>
            <w:rStyle w:val="Lienhypertexte"/>
            <w:noProof/>
          </w:rPr>
          <w:t>Évaluation et versement</w:t>
        </w:r>
        <w:r w:rsidR="00E1004B">
          <w:rPr>
            <w:noProof/>
            <w:webHidden/>
          </w:rPr>
          <w:tab/>
        </w:r>
        <w:r w:rsidR="00E1004B">
          <w:rPr>
            <w:noProof/>
            <w:webHidden/>
          </w:rPr>
          <w:fldChar w:fldCharType="begin"/>
        </w:r>
        <w:r w:rsidR="00E1004B">
          <w:rPr>
            <w:noProof/>
            <w:webHidden/>
          </w:rPr>
          <w:instrText xml:space="preserve"> PAGEREF _Toc221536450 \h </w:instrText>
        </w:r>
        <w:r w:rsidR="00E1004B">
          <w:rPr>
            <w:noProof/>
            <w:webHidden/>
          </w:rPr>
        </w:r>
        <w:r w:rsidR="00E1004B">
          <w:rPr>
            <w:noProof/>
            <w:webHidden/>
          </w:rPr>
          <w:fldChar w:fldCharType="separate"/>
        </w:r>
        <w:r w:rsidR="00E1004B">
          <w:rPr>
            <w:noProof/>
            <w:webHidden/>
          </w:rPr>
          <w:t>6</w:t>
        </w:r>
        <w:r w:rsidR="00E1004B">
          <w:rPr>
            <w:noProof/>
            <w:webHidden/>
          </w:rPr>
          <w:fldChar w:fldCharType="end"/>
        </w:r>
      </w:hyperlink>
    </w:p>
    <w:p w14:paraId="7237271B" w14:textId="67AA7A44" w:rsidR="00E1004B" w:rsidRDefault="00802786">
      <w:pPr>
        <w:pStyle w:val="TM2"/>
        <w:tabs>
          <w:tab w:val="left" w:pos="880"/>
          <w:tab w:val="right" w:leader="dot" w:pos="9016"/>
        </w:tabs>
        <w:rPr>
          <w:noProof/>
        </w:rPr>
      </w:pPr>
      <w:hyperlink w:anchor="_Toc221536451" w:history="1">
        <w:r w:rsidR="00E1004B" w:rsidRPr="0033455D">
          <w:rPr>
            <w:rStyle w:val="Lienhypertexte"/>
            <w:noProof/>
          </w:rPr>
          <w:t>4.6</w:t>
        </w:r>
        <w:r w:rsidR="00E1004B">
          <w:rPr>
            <w:noProof/>
          </w:rPr>
          <w:tab/>
        </w:r>
        <w:r w:rsidR="00E1004B" w:rsidRPr="0033455D">
          <w:rPr>
            <w:rStyle w:val="Lienhypertexte"/>
            <w:noProof/>
          </w:rPr>
          <w:t>Destruction</w:t>
        </w:r>
        <w:r w:rsidR="00E1004B">
          <w:rPr>
            <w:noProof/>
            <w:webHidden/>
          </w:rPr>
          <w:tab/>
        </w:r>
        <w:r w:rsidR="00E1004B">
          <w:rPr>
            <w:noProof/>
            <w:webHidden/>
          </w:rPr>
          <w:fldChar w:fldCharType="begin"/>
        </w:r>
        <w:r w:rsidR="00E1004B">
          <w:rPr>
            <w:noProof/>
            <w:webHidden/>
          </w:rPr>
          <w:instrText xml:space="preserve"> PAGEREF _Toc221536451 \h </w:instrText>
        </w:r>
        <w:r w:rsidR="00E1004B">
          <w:rPr>
            <w:noProof/>
            <w:webHidden/>
          </w:rPr>
        </w:r>
        <w:r w:rsidR="00E1004B">
          <w:rPr>
            <w:noProof/>
            <w:webHidden/>
          </w:rPr>
          <w:fldChar w:fldCharType="separate"/>
        </w:r>
        <w:r w:rsidR="00E1004B">
          <w:rPr>
            <w:noProof/>
            <w:webHidden/>
          </w:rPr>
          <w:t>7</w:t>
        </w:r>
        <w:r w:rsidR="00E1004B">
          <w:rPr>
            <w:noProof/>
            <w:webHidden/>
          </w:rPr>
          <w:fldChar w:fldCharType="end"/>
        </w:r>
      </w:hyperlink>
    </w:p>
    <w:p w14:paraId="48E42853" w14:textId="70A51EEC" w:rsidR="00E1004B" w:rsidRDefault="00802786">
      <w:pPr>
        <w:pStyle w:val="TM1"/>
        <w:tabs>
          <w:tab w:val="left" w:pos="440"/>
          <w:tab w:val="right" w:leader="dot" w:pos="9016"/>
        </w:tabs>
        <w:rPr>
          <w:noProof/>
        </w:rPr>
      </w:pPr>
      <w:hyperlink w:anchor="_Toc221536452" w:history="1">
        <w:r w:rsidR="00E1004B" w:rsidRPr="0033455D">
          <w:rPr>
            <w:rStyle w:val="Lienhypertexte"/>
            <w:noProof/>
          </w:rPr>
          <w:t>5</w:t>
        </w:r>
        <w:r w:rsidR="00E1004B">
          <w:rPr>
            <w:noProof/>
          </w:rPr>
          <w:tab/>
        </w:r>
        <w:r w:rsidR="00E1004B" w:rsidRPr="0033455D">
          <w:rPr>
            <w:rStyle w:val="Lienhypertexte"/>
            <w:noProof/>
          </w:rPr>
          <w:t>Contrôle de qualité</w:t>
        </w:r>
        <w:r w:rsidR="00E1004B">
          <w:rPr>
            <w:noProof/>
            <w:webHidden/>
          </w:rPr>
          <w:tab/>
        </w:r>
        <w:r w:rsidR="00E1004B">
          <w:rPr>
            <w:noProof/>
            <w:webHidden/>
          </w:rPr>
          <w:fldChar w:fldCharType="begin"/>
        </w:r>
        <w:r w:rsidR="00E1004B">
          <w:rPr>
            <w:noProof/>
            <w:webHidden/>
          </w:rPr>
          <w:instrText xml:space="preserve"> PAGEREF _Toc221536452 \h </w:instrText>
        </w:r>
        <w:r w:rsidR="00E1004B">
          <w:rPr>
            <w:noProof/>
            <w:webHidden/>
          </w:rPr>
        </w:r>
        <w:r w:rsidR="00E1004B">
          <w:rPr>
            <w:noProof/>
            <w:webHidden/>
          </w:rPr>
          <w:fldChar w:fldCharType="separate"/>
        </w:r>
        <w:r w:rsidR="00E1004B">
          <w:rPr>
            <w:noProof/>
            <w:webHidden/>
          </w:rPr>
          <w:t>7</w:t>
        </w:r>
        <w:r w:rsidR="00E1004B">
          <w:rPr>
            <w:noProof/>
            <w:webHidden/>
          </w:rPr>
          <w:fldChar w:fldCharType="end"/>
        </w:r>
      </w:hyperlink>
    </w:p>
    <w:p w14:paraId="73EBD92E" w14:textId="65073ABE" w:rsidR="00E1004B" w:rsidRDefault="00802786">
      <w:pPr>
        <w:pStyle w:val="TM1"/>
        <w:tabs>
          <w:tab w:val="left" w:pos="440"/>
          <w:tab w:val="right" w:leader="dot" w:pos="9016"/>
        </w:tabs>
        <w:rPr>
          <w:noProof/>
        </w:rPr>
      </w:pPr>
      <w:hyperlink w:anchor="_Toc221536453" w:history="1">
        <w:r w:rsidR="00E1004B" w:rsidRPr="0033455D">
          <w:rPr>
            <w:rStyle w:val="Lienhypertexte"/>
            <w:noProof/>
          </w:rPr>
          <w:t>6</w:t>
        </w:r>
        <w:r w:rsidR="00E1004B">
          <w:rPr>
            <w:noProof/>
          </w:rPr>
          <w:tab/>
        </w:r>
        <w:r w:rsidR="00E1004B" w:rsidRPr="0033455D">
          <w:rPr>
            <w:rStyle w:val="Lienhypertexte"/>
            <w:noProof/>
          </w:rPr>
          <w:t>Entrée en vigueur et révision</w:t>
        </w:r>
        <w:r w:rsidR="00E1004B">
          <w:rPr>
            <w:noProof/>
            <w:webHidden/>
          </w:rPr>
          <w:tab/>
        </w:r>
        <w:r w:rsidR="00E1004B">
          <w:rPr>
            <w:noProof/>
            <w:webHidden/>
          </w:rPr>
          <w:fldChar w:fldCharType="begin"/>
        </w:r>
        <w:r w:rsidR="00E1004B">
          <w:rPr>
            <w:noProof/>
            <w:webHidden/>
          </w:rPr>
          <w:instrText xml:space="preserve"> PAGEREF _Toc221536453 \h </w:instrText>
        </w:r>
        <w:r w:rsidR="00E1004B">
          <w:rPr>
            <w:noProof/>
            <w:webHidden/>
          </w:rPr>
        </w:r>
        <w:r w:rsidR="00E1004B">
          <w:rPr>
            <w:noProof/>
            <w:webHidden/>
          </w:rPr>
          <w:fldChar w:fldCharType="separate"/>
        </w:r>
        <w:r w:rsidR="00E1004B">
          <w:rPr>
            <w:noProof/>
            <w:webHidden/>
          </w:rPr>
          <w:t>7</w:t>
        </w:r>
        <w:r w:rsidR="00E1004B">
          <w:rPr>
            <w:noProof/>
            <w:webHidden/>
          </w:rPr>
          <w:fldChar w:fldCharType="end"/>
        </w:r>
      </w:hyperlink>
    </w:p>
    <w:p w14:paraId="39F7C288" w14:textId="60A7411B" w:rsidR="00E1004B" w:rsidRDefault="00802786">
      <w:pPr>
        <w:pStyle w:val="TM1"/>
        <w:tabs>
          <w:tab w:val="left" w:pos="440"/>
          <w:tab w:val="right" w:leader="dot" w:pos="9016"/>
        </w:tabs>
        <w:rPr>
          <w:noProof/>
        </w:rPr>
      </w:pPr>
      <w:hyperlink w:anchor="_Toc221536454" w:history="1">
        <w:r w:rsidR="00E1004B" w:rsidRPr="0033455D">
          <w:rPr>
            <w:rStyle w:val="Lienhypertexte"/>
            <w:noProof/>
          </w:rPr>
          <w:t>7</w:t>
        </w:r>
        <w:r w:rsidR="00E1004B">
          <w:rPr>
            <w:noProof/>
          </w:rPr>
          <w:tab/>
        </w:r>
        <w:r w:rsidR="00E1004B" w:rsidRPr="0033455D">
          <w:rPr>
            <w:rStyle w:val="Lienhypertexte"/>
            <w:noProof/>
          </w:rPr>
          <w:t>Liste des annexes</w:t>
        </w:r>
        <w:r w:rsidR="00E1004B">
          <w:rPr>
            <w:noProof/>
            <w:webHidden/>
          </w:rPr>
          <w:tab/>
        </w:r>
        <w:r w:rsidR="00E1004B">
          <w:rPr>
            <w:noProof/>
            <w:webHidden/>
          </w:rPr>
          <w:fldChar w:fldCharType="begin"/>
        </w:r>
        <w:r w:rsidR="00E1004B">
          <w:rPr>
            <w:noProof/>
            <w:webHidden/>
          </w:rPr>
          <w:instrText xml:space="preserve"> PAGEREF _Toc221536454 \h </w:instrText>
        </w:r>
        <w:r w:rsidR="00E1004B">
          <w:rPr>
            <w:noProof/>
            <w:webHidden/>
          </w:rPr>
        </w:r>
        <w:r w:rsidR="00E1004B">
          <w:rPr>
            <w:noProof/>
            <w:webHidden/>
          </w:rPr>
          <w:fldChar w:fldCharType="separate"/>
        </w:r>
        <w:r w:rsidR="00E1004B">
          <w:rPr>
            <w:noProof/>
            <w:webHidden/>
          </w:rPr>
          <w:t>9</w:t>
        </w:r>
        <w:r w:rsidR="00E1004B">
          <w:rPr>
            <w:noProof/>
            <w:webHidden/>
          </w:rPr>
          <w:fldChar w:fldCharType="end"/>
        </w:r>
      </w:hyperlink>
    </w:p>
    <w:p w14:paraId="75646FFE" w14:textId="65B2A5C5" w:rsidR="00CA4264" w:rsidRDefault="00E1004B">
      <w:r>
        <w:fldChar w:fldCharType="end"/>
      </w:r>
      <w:r w:rsidR="00CA4264">
        <w:br w:type="page"/>
      </w:r>
      <w:bookmarkStart w:id="0" w:name="_GoBack"/>
      <w:bookmarkEnd w:id="0"/>
    </w:p>
    <w:p w14:paraId="4140D831" w14:textId="3FF7C6A1" w:rsidR="00CE199F" w:rsidRPr="00CA4264" w:rsidRDefault="00CE199F" w:rsidP="00CA4264">
      <w:pPr>
        <w:pStyle w:val="Titre1"/>
      </w:pPr>
      <w:bookmarkStart w:id="1" w:name="_Toc221536436"/>
      <w:r w:rsidRPr="00CA4264">
        <w:lastRenderedPageBreak/>
        <w:t>Objectif</w:t>
      </w:r>
      <w:bookmarkEnd w:id="1"/>
    </w:p>
    <w:p w14:paraId="0C4FC02B" w14:textId="7D375754" w:rsidR="00CE199F" w:rsidRDefault="00CE199F" w:rsidP="005E764E">
      <w:r>
        <w:t>Notre commune s’engage à gérer tous les documents et affaires de manière électronique, de leur création jusqu’à leur destruction ou archivage.</w:t>
      </w:r>
      <w:r w:rsidR="005E764E">
        <w:t xml:space="preserve"> </w:t>
      </w:r>
      <w:r>
        <w:t xml:space="preserve">Cela permet </w:t>
      </w:r>
      <w:r w:rsidR="005E764E">
        <w:t>entre autres</w:t>
      </w:r>
      <w:r w:rsidR="00E01C40">
        <w:t xml:space="preserve"> </w:t>
      </w:r>
      <w:r>
        <w:t>:</w:t>
      </w:r>
    </w:p>
    <w:p w14:paraId="6A8BF069" w14:textId="77777777" w:rsidR="00CE199F" w:rsidRDefault="00CE199F" w:rsidP="00DC484A">
      <w:pPr>
        <w:pStyle w:val="Paragraphedeliste"/>
        <w:numPr>
          <w:ilvl w:val="0"/>
          <w:numId w:val="13"/>
        </w:numPr>
      </w:pPr>
      <w:r>
        <w:t>De garantir la traçabilité, la transparence et la sécurité des données.</w:t>
      </w:r>
    </w:p>
    <w:p w14:paraId="1592CE3B" w14:textId="3E81AD5A" w:rsidR="00CE199F" w:rsidRDefault="00CE199F" w:rsidP="00DC484A">
      <w:pPr>
        <w:pStyle w:val="Paragraphedeliste"/>
        <w:numPr>
          <w:ilvl w:val="0"/>
          <w:numId w:val="13"/>
        </w:numPr>
      </w:pPr>
      <w:r>
        <w:t xml:space="preserve">De respecter les obligations légales </w:t>
      </w:r>
      <w:r w:rsidR="00BD02E7">
        <w:t xml:space="preserve">en vigueur </w:t>
      </w:r>
      <w:r>
        <w:t xml:space="preserve">(LAN, </w:t>
      </w:r>
      <w:proofErr w:type="spellStart"/>
      <w:r>
        <w:t>LArch</w:t>
      </w:r>
      <w:proofErr w:type="spellEnd"/>
      <w:r>
        <w:t xml:space="preserve">, </w:t>
      </w:r>
      <w:proofErr w:type="spellStart"/>
      <w:r>
        <w:t>OArch</w:t>
      </w:r>
      <w:proofErr w:type="spellEnd"/>
      <w:r>
        <w:t>, LCPD).</w:t>
      </w:r>
    </w:p>
    <w:p w14:paraId="3BFE57FE" w14:textId="70FA899E" w:rsidR="00CE199F" w:rsidRDefault="00CE199F" w:rsidP="00DC484A">
      <w:pPr>
        <w:pStyle w:val="Paragraphedeliste"/>
        <w:numPr>
          <w:ilvl w:val="0"/>
          <w:numId w:val="13"/>
        </w:numPr>
      </w:pPr>
      <w:r>
        <w:t>De préparer l’archivage électronique permanent</w:t>
      </w:r>
      <w:r w:rsidR="00DC484A">
        <w:t>, notamment en conformément au système cantonal</w:t>
      </w:r>
      <w:r>
        <w:t>.</w:t>
      </w:r>
    </w:p>
    <w:p w14:paraId="27828BB5" w14:textId="77777777" w:rsidR="00CE199F" w:rsidRDefault="00CE199F" w:rsidP="00DC484A">
      <w:pPr>
        <w:pStyle w:val="Paragraphedeliste"/>
        <w:numPr>
          <w:ilvl w:val="0"/>
          <w:numId w:val="13"/>
        </w:numPr>
      </w:pPr>
      <w:r>
        <w:t>De simplifier le travail quotidien de tous les collaborateurs.</w:t>
      </w:r>
    </w:p>
    <w:p w14:paraId="56366FD3" w14:textId="47F0C7BF" w:rsidR="00CE199F" w:rsidRDefault="00CE199F" w:rsidP="00CE199F">
      <w:r>
        <w:t xml:space="preserve">Notre système central </w:t>
      </w:r>
      <w:r w:rsidR="00DC484A">
        <w:t xml:space="preserve">pour répondre à ces besoins </w:t>
      </w:r>
      <w:r>
        <w:t xml:space="preserve">est notre </w:t>
      </w:r>
      <w:r w:rsidR="00BD02E7">
        <w:t>système de Gestion électronique des documents (</w:t>
      </w:r>
      <w:r>
        <w:t>GE</w:t>
      </w:r>
      <w:r w:rsidR="00DC484A">
        <w:t>D</w:t>
      </w:r>
      <w:r w:rsidR="00BD02E7">
        <w:t>)</w:t>
      </w:r>
      <w:r>
        <w:t>.</w:t>
      </w:r>
    </w:p>
    <w:p w14:paraId="016CE007" w14:textId="77777777" w:rsidR="00CE199F" w:rsidRDefault="00CE199F" w:rsidP="00CE199F"/>
    <w:p w14:paraId="69252358" w14:textId="42DD78FD" w:rsidR="00CA4264" w:rsidRPr="00CA4264" w:rsidRDefault="00CA4264" w:rsidP="00CA4264">
      <w:pPr>
        <w:pStyle w:val="Titre1"/>
      </w:pPr>
      <w:bookmarkStart w:id="2" w:name="_Toc221536437"/>
      <w:r w:rsidRPr="00CA4264">
        <w:t>P</w:t>
      </w:r>
      <w:r w:rsidR="00CE199F" w:rsidRPr="00CA4264">
        <w:t>rincipes fondamentaux</w:t>
      </w:r>
      <w:bookmarkEnd w:id="2"/>
    </w:p>
    <w:p w14:paraId="16DBAED9" w14:textId="2F8A567F" w:rsidR="00CE199F" w:rsidRPr="00CA4264" w:rsidRDefault="00CE199F" w:rsidP="00CA4264">
      <w:pPr>
        <w:pStyle w:val="Titre2"/>
      </w:pPr>
      <w:bookmarkStart w:id="3" w:name="_Toc221536438"/>
      <w:r w:rsidRPr="00CA4264">
        <w:t>Primauté du dossier électronique</w:t>
      </w:r>
      <w:bookmarkEnd w:id="3"/>
    </w:p>
    <w:p w14:paraId="28A471E2" w14:textId="63579DBF" w:rsidR="00CE199F" w:rsidRDefault="00CE199F" w:rsidP="00CE199F">
      <w:r>
        <w:t>Tous les documents pertinents pour une affaire doivent être regroupés dans un seul dossier électronique.</w:t>
      </w:r>
      <w:r w:rsidR="009C3BF5">
        <w:t xml:space="preserve"> </w:t>
      </w:r>
      <w:r>
        <w:t>Aucun document ne doit rester “orphelin”</w:t>
      </w:r>
      <w:r w:rsidR="00DC484A">
        <w:t>.</w:t>
      </w:r>
    </w:p>
    <w:p w14:paraId="44908D21" w14:textId="77777777" w:rsidR="00CE199F" w:rsidRDefault="00CE199F" w:rsidP="00CE199F"/>
    <w:p w14:paraId="7882FFF4" w14:textId="23FF315F" w:rsidR="00CE199F" w:rsidRDefault="00CE199F" w:rsidP="00CA4264">
      <w:pPr>
        <w:pStyle w:val="Titre2"/>
      </w:pPr>
      <w:bookmarkStart w:id="4" w:name="_Toc221536439"/>
      <w:r>
        <w:t>Cycle de vie des documents</w:t>
      </w:r>
      <w:bookmarkEnd w:id="4"/>
    </w:p>
    <w:p w14:paraId="54A23318" w14:textId="1340306C" w:rsidR="00CE199F" w:rsidRDefault="00CE199F" w:rsidP="005E764E">
      <w:pPr>
        <w:spacing w:after="0"/>
      </w:pPr>
      <w:r>
        <w:t xml:space="preserve">Chaque document suit </w:t>
      </w:r>
      <w:r w:rsidR="006D3087">
        <w:t>les</w:t>
      </w:r>
      <w:r>
        <w:t xml:space="preserve"> étapes :</w:t>
      </w:r>
    </w:p>
    <w:p w14:paraId="0EB1A5AC" w14:textId="7AC9443A" w:rsidR="006D3087" w:rsidRDefault="006D3087" w:rsidP="00DC484A">
      <w:pPr>
        <w:pStyle w:val="Paragraphedeliste"/>
        <w:numPr>
          <w:ilvl w:val="0"/>
          <w:numId w:val="14"/>
        </w:numPr>
      </w:pPr>
      <w:r>
        <w:t>Entrée du document : création du dossier, métadonnées, accès</w:t>
      </w:r>
    </w:p>
    <w:p w14:paraId="20E0766F" w14:textId="425C7BF5" w:rsidR="00CE199F" w:rsidRDefault="00DC484A" w:rsidP="00DC484A">
      <w:pPr>
        <w:pStyle w:val="Paragraphedeliste"/>
        <w:numPr>
          <w:ilvl w:val="0"/>
          <w:numId w:val="14"/>
        </w:numPr>
      </w:pPr>
      <w:r>
        <w:t>Traitement de l’affaire</w:t>
      </w:r>
      <w:r w:rsidR="006D3087">
        <w:t> : complétude du dossier</w:t>
      </w:r>
    </w:p>
    <w:p w14:paraId="682203FE" w14:textId="4B21D9A6" w:rsidR="006D3087" w:rsidRDefault="006D3087" w:rsidP="00DC484A">
      <w:pPr>
        <w:pStyle w:val="Paragraphedeliste"/>
        <w:numPr>
          <w:ilvl w:val="0"/>
          <w:numId w:val="14"/>
        </w:numPr>
      </w:pPr>
      <w:r>
        <w:t>Clôture de l’affaire : nettoyer et conserver</w:t>
      </w:r>
    </w:p>
    <w:p w14:paraId="5E2C46AE" w14:textId="12E7EEDA" w:rsidR="00CE199F" w:rsidRDefault="00CE199F" w:rsidP="00DC484A">
      <w:pPr>
        <w:pStyle w:val="Paragraphedeliste"/>
        <w:numPr>
          <w:ilvl w:val="0"/>
          <w:numId w:val="14"/>
        </w:numPr>
      </w:pPr>
      <w:r>
        <w:t>Archives intermédiaires → conservation temporaire</w:t>
      </w:r>
      <w:r w:rsidR="00DC484A">
        <w:t>,</w:t>
      </w:r>
      <w:r>
        <w:t xml:space="preserve"> selon délai.</w:t>
      </w:r>
    </w:p>
    <w:p w14:paraId="63A0708D" w14:textId="1E93BDD0" w:rsidR="00CE199F" w:rsidRDefault="00CE199F" w:rsidP="00DC484A">
      <w:pPr>
        <w:pStyle w:val="Paragraphedeliste"/>
        <w:numPr>
          <w:ilvl w:val="0"/>
          <w:numId w:val="14"/>
        </w:numPr>
      </w:pPr>
      <w:r>
        <w:t>Archives définitives ou destruction →</w:t>
      </w:r>
      <w:r w:rsidR="00DC484A">
        <w:t xml:space="preserve"> archiv</w:t>
      </w:r>
      <w:r w:rsidR="006D3087">
        <w:t>er</w:t>
      </w:r>
      <w:r w:rsidR="00DC484A">
        <w:t xml:space="preserve"> ou détrui</w:t>
      </w:r>
      <w:r w:rsidR="006D3087">
        <w:t>re</w:t>
      </w:r>
      <w:r w:rsidR="00DC484A">
        <w:t xml:space="preserve"> avec procès-verbal</w:t>
      </w:r>
      <w:r>
        <w:t>.</w:t>
      </w:r>
    </w:p>
    <w:p w14:paraId="429859B4" w14:textId="40ABE3B3" w:rsidR="00CE199F" w:rsidRDefault="006D3087" w:rsidP="00CE199F">
      <w:r>
        <w:t>Ces étapes, donc le cycle de vie des documents, structure le point 4 de la présente directive.</w:t>
      </w:r>
    </w:p>
    <w:p w14:paraId="1D4B20CC" w14:textId="77777777" w:rsidR="006D3087" w:rsidRDefault="006D3087" w:rsidP="00CE199F"/>
    <w:p w14:paraId="69B6150C" w14:textId="602B8E53" w:rsidR="00CE199F" w:rsidRDefault="00CE199F" w:rsidP="00CA4264">
      <w:pPr>
        <w:pStyle w:val="Titre2"/>
      </w:pPr>
      <w:bookmarkStart w:id="5" w:name="_Toc221536440"/>
      <w:r>
        <w:t>Métadonnées : le cœur du système</w:t>
      </w:r>
      <w:bookmarkEnd w:id="5"/>
    </w:p>
    <w:p w14:paraId="09525237" w14:textId="77777777" w:rsidR="00CE199F" w:rsidRDefault="00CE199F" w:rsidP="00CE199F">
      <w:r>
        <w:t>Les métadonnées sont obligatoires dès la création du dossier. Elles permettent la recherche, le tri, l’archivage et la destruction.</w:t>
      </w:r>
    </w:p>
    <w:p w14:paraId="567AE8D8" w14:textId="75BA650A" w:rsidR="00CE199F" w:rsidRDefault="00BD02E7" w:rsidP="00CE199F">
      <w:proofErr w:type="gramStart"/>
      <w:r>
        <w:rPr>
          <w:rFonts w:ascii="Segoe UI Emoji" w:hAnsi="Segoe UI Emoji" w:cs="Segoe UI Emoji"/>
        </w:rPr>
        <w:t>📄</w:t>
      </w:r>
      <w:proofErr w:type="gramEnd"/>
      <w:r w:rsidR="00CE199F">
        <w:t xml:space="preserve"> L</w:t>
      </w:r>
      <w:r>
        <w:t>’annexe « L</w:t>
      </w:r>
      <w:r w:rsidR="00CE199F">
        <w:t>iste de métadonnée</w:t>
      </w:r>
      <w:r>
        <w:t>s »</w:t>
      </w:r>
      <w:r w:rsidR="00DC484A">
        <w:t xml:space="preserve">, énumère </w:t>
      </w:r>
      <w:r>
        <w:t xml:space="preserve">entre autres </w:t>
      </w:r>
      <w:r w:rsidR="00DC484A">
        <w:t>celles nécessaires à répondre aux obligations légales (date de clôture, délai de conservation, valeur archivistique, etc.)</w:t>
      </w:r>
    </w:p>
    <w:p w14:paraId="3E4B6B45" w14:textId="2BD7A9AA" w:rsidR="00CE199F" w:rsidRDefault="00CE199F" w:rsidP="00CE199F">
      <w:r>
        <w:t xml:space="preserve">Selon </w:t>
      </w:r>
      <w:r w:rsidR="00DC484A">
        <w:t>les besoins spécifiques</w:t>
      </w:r>
      <w:r>
        <w:t>, d’autres métadonnées peuvent être ajoutées</w:t>
      </w:r>
      <w:r w:rsidR="00DC484A">
        <w:t xml:space="preserve"> au système GED</w:t>
      </w:r>
      <w:r>
        <w:t xml:space="preserve"> (ex. : service, projet, budget, etc.).</w:t>
      </w:r>
    </w:p>
    <w:p w14:paraId="7293C4F6" w14:textId="77777777" w:rsidR="00CE199F" w:rsidRDefault="00CE199F" w:rsidP="00CE199F"/>
    <w:p w14:paraId="29F7F998" w14:textId="3D6BC81A" w:rsidR="00CE199F" w:rsidRDefault="00CE199F" w:rsidP="00CA4264">
      <w:pPr>
        <w:pStyle w:val="Titre2"/>
      </w:pPr>
      <w:bookmarkStart w:id="6" w:name="_Toc221536442"/>
      <w:r>
        <w:t>Système de classement</w:t>
      </w:r>
      <w:bookmarkEnd w:id="6"/>
    </w:p>
    <w:p w14:paraId="0C7FA55E" w14:textId="5017E6BF" w:rsidR="00CE199F" w:rsidRDefault="00BD02E7" w:rsidP="00BD02E7">
      <w:pPr>
        <w:spacing w:after="0"/>
      </w:pPr>
      <w:r>
        <w:t>Le système de classement est :</w:t>
      </w:r>
    </w:p>
    <w:p w14:paraId="186B7F05" w14:textId="77777777" w:rsidR="00CE199F" w:rsidRDefault="00CE199F" w:rsidP="00BD02E7">
      <w:pPr>
        <w:pStyle w:val="Paragraphedeliste"/>
        <w:numPr>
          <w:ilvl w:val="0"/>
          <w:numId w:val="15"/>
        </w:numPr>
      </w:pPr>
      <w:r>
        <w:t>Documenté → accessible à tous.</w:t>
      </w:r>
    </w:p>
    <w:p w14:paraId="6EF4A679" w14:textId="77777777" w:rsidR="00CE199F" w:rsidRDefault="00CE199F" w:rsidP="00BD02E7">
      <w:pPr>
        <w:pStyle w:val="Paragraphedeliste"/>
        <w:numPr>
          <w:ilvl w:val="0"/>
          <w:numId w:val="15"/>
        </w:numPr>
      </w:pPr>
      <w:r>
        <w:t>Évolutif → il peut changer si besoin.</w:t>
      </w:r>
    </w:p>
    <w:p w14:paraId="3AA370FC" w14:textId="77777777" w:rsidR="00CE199F" w:rsidRDefault="00CE199F" w:rsidP="00BD02E7">
      <w:pPr>
        <w:pStyle w:val="Paragraphedeliste"/>
        <w:numPr>
          <w:ilvl w:val="0"/>
          <w:numId w:val="15"/>
        </w:numPr>
      </w:pPr>
      <w:r>
        <w:t>Pas rigide → chaque service peut l’adapter à ses besoins.</w:t>
      </w:r>
    </w:p>
    <w:p w14:paraId="099DBA6B" w14:textId="257CAC49" w:rsidR="00CE199F" w:rsidRDefault="00CE199F" w:rsidP="00CA4264">
      <w:pPr>
        <w:pStyle w:val="Titre2"/>
      </w:pPr>
      <w:bookmarkStart w:id="7" w:name="_Toc221536443"/>
      <w:r>
        <w:lastRenderedPageBreak/>
        <w:t>Protection des données</w:t>
      </w:r>
      <w:bookmarkEnd w:id="7"/>
    </w:p>
    <w:p w14:paraId="030540A4" w14:textId="36208255" w:rsidR="00CE199F" w:rsidRDefault="00BD02E7" w:rsidP="00CE199F">
      <w:r>
        <w:t xml:space="preserve">Conformément à la </w:t>
      </w:r>
      <w:r w:rsidR="009C3BF5">
        <w:t>Loi sur la protection des données (LCPD – RSB 152.04), la commune s’engage à assurer :</w:t>
      </w:r>
    </w:p>
    <w:p w14:paraId="6A056096" w14:textId="54FCAB02" w:rsidR="009C3BF5" w:rsidRDefault="009C3BF5" w:rsidP="009C3BF5">
      <w:pPr>
        <w:pStyle w:val="Paragraphedeliste"/>
        <w:numPr>
          <w:ilvl w:val="0"/>
          <w:numId w:val="16"/>
        </w:numPr>
      </w:pPr>
      <w:proofErr w:type="gramStart"/>
      <w:r>
        <w:t>les</w:t>
      </w:r>
      <w:proofErr w:type="gramEnd"/>
      <w:r>
        <w:t xml:space="preserve"> mesures techniques et organisationnelles appropriées pour garantir la sécurité adéquate des données personnelles, et particulièrement des données personnelles sensibles</w:t>
      </w:r>
    </w:p>
    <w:p w14:paraId="36288BBE" w14:textId="3D758AAC" w:rsidR="009C3BF5" w:rsidRDefault="009C3BF5" w:rsidP="009C3BF5">
      <w:pPr>
        <w:pStyle w:val="Paragraphedeliste"/>
        <w:numPr>
          <w:ilvl w:val="0"/>
          <w:numId w:val="16"/>
        </w:numPr>
      </w:pPr>
      <w:proofErr w:type="gramStart"/>
      <w:r>
        <w:t>des</w:t>
      </w:r>
      <w:proofErr w:type="gramEnd"/>
      <w:r>
        <w:t xml:space="preserve"> accès restreints pour respecter la proportionnalité</w:t>
      </w:r>
    </w:p>
    <w:p w14:paraId="1F8B181B" w14:textId="6155B3DC" w:rsidR="009C3BF5" w:rsidRDefault="009C3BF5" w:rsidP="009C3BF5">
      <w:pPr>
        <w:pStyle w:val="Paragraphedeliste"/>
        <w:numPr>
          <w:ilvl w:val="0"/>
          <w:numId w:val="16"/>
        </w:numPr>
      </w:pPr>
      <w:proofErr w:type="gramStart"/>
      <w:r>
        <w:t>la</w:t>
      </w:r>
      <w:proofErr w:type="gramEnd"/>
      <w:r>
        <w:t xml:space="preserve"> transparence dans l’utilisation des données</w:t>
      </w:r>
    </w:p>
    <w:p w14:paraId="2F57673F" w14:textId="3EA700E5" w:rsidR="009C3BF5" w:rsidRDefault="009C3BF5" w:rsidP="009C3BF5">
      <w:pPr>
        <w:pStyle w:val="Paragraphedeliste"/>
        <w:numPr>
          <w:ilvl w:val="0"/>
          <w:numId w:val="16"/>
        </w:numPr>
      </w:pPr>
      <w:proofErr w:type="gramStart"/>
      <w:r>
        <w:t>la</w:t>
      </w:r>
      <w:proofErr w:type="gramEnd"/>
      <w:r>
        <w:t xml:space="preserve"> destruction irréversible des données après leur délai de conservation</w:t>
      </w:r>
    </w:p>
    <w:p w14:paraId="33EAFA9E" w14:textId="79C28BC7" w:rsidR="009C3BF5" w:rsidRDefault="009C3BF5" w:rsidP="009C3BF5">
      <w:pPr>
        <w:pStyle w:val="Paragraphedeliste"/>
        <w:numPr>
          <w:ilvl w:val="0"/>
          <w:numId w:val="16"/>
        </w:numPr>
      </w:pPr>
      <w:proofErr w:type="gramStart"/>
      <w:r>
        <w:t>assurer</w:t>
      </w:r>
      <w:proofErr w:type="gramEnd"/>
      <w:r>
        <w:t xml:space="preserve"> un procès-verbal de l’élimination</w:t>
      </w:r>
    </w:p>
    <w:p w14:paraId="2F220507" w14:textId="77777777" w:rsidR="00CA4264" w:rsidRDefault="00CA4264" w:rsidP="00CE199F"/>
    <w:p w14:paraId="51816AE2" w14:textId="294ED990" w:rsidR="00CE199F" w:rsidRDefault="00CE199F" w:rsidP="00CA4264">
      <w:pPr>
        <w:pStyle w:val="Titre1"/>
      </w:pPr>
      <w:bookmarkStart w:id="8" w:name="_Toc221536444"/>
      <w:r>
        <w:t>Organisation : rôles et responsabilités</w:t>
      </w:r>
      <w:bookmarkEnd w:id="8"/>
    </w:p>
    <w:p w14:paraId="43B17BAF" w14:textId="77777777" w:rsidR="009C3BF5" w:rsidRDefault="009C3BF5" w:rsidP="009C3BF5">
      <w:r>
        <w:t>Principe de base : accès large, avec restrictions seulement si nécessaire (données personnelles, secrets, documents confidentiels).</w:t>
      </w:r>
    </w:p>
    <w:p w14:paraId="0AE2B41B" w14:textId="77777777" w:rsidR="009C3BF5" w:rsidRDefault="009C3BF5" w:rsidP="009C3BF5">
      <w:r>
        <w:t>Application : règles d’accès appliquées par groupes d’autorisation selon les rôles (pas de mots de passe spécifiques). Les rôles éventuels ; Collaborateur, Chef de service, Responsable GED, Super-utilisateur.</w:t>
      </w:r>
    </w:p>
    <w:p w14:paraId="362426E2" w14:textId="71FD5A43" w:rsidR="009C3BF5" w:rsidRDefault="009C3BF5" w:rsidP="009C3BF5">
      <w:proofErr w:type="gramStart"/>
      <w:r>
        <w:rPr>
          <w:rFonts w:ascii="Segoe UI Emoji" w:hAnsi="Segoe UI Emoji" w:cs="Segoe UI Emoji"/>
        </w:rPr>
        <w:t>📄</w:t>
      </w:r>
      <w:proofErr w:type="gramEnd"/>
      <w:r>
        <w:t xml:space="preserve"> L’annexe « </w:t>
      </w:r>
      <w:r w:rsidR="00FC411D">
        <w:t>R</w:t>
      </w:r>
      <w:r>
        <w:t>ôle et droits d’accès », spécifie ces répartitions au sein d’une matrice, avec les accès, les types de droits et les tâches notamment.</w:t>
      </w:r>
    </w:p>
    <w:p w14:paraId="377C434D" w14:textId="77777777" w:rsidR="00CE199F" w:rsidRDefault="00CE199F" w:rsidP="00CE199F"/>
    <w:p w14:paraId="352EBD96" w14:textId="242CFADE" w:rsidR="00CE199F" w:rsidRDefault="00CE199F" w:rsidP="00CA4264">
      <w:pPr>
        <w:pStyle w:val="Titre1"/>
      </w:pPr>
      <w:bookmarkStart w:id="9" w:name="_Toc221536445"/>
      <w:r>
        <w:t>Processus : de l’entrée à la destruction</w:t>
      </w:r>
      <w:bookmarkEnd w:id="9"/>
      <w:r w:rsidR="006D3087">
        <w:t>/archivage</w:t>
      </w:r>
    </w:p>
    <w:p w14:paraId="3EA9A6A9" w14:textId="6CA0DD14" w:rsidR="006D3087" w:rsidRPr="006D3087" w:rsidRDefault="00FC411D" w:rsidP="006D3087">
      <w:r>
        <w:rPr>
          <w:noProof/>
        </w:rPr>
        <w:drawing>
          <wp:anchor distT="0" distB="0" distL="114300" distR="114300" simplePos="0" relativeHeight="251658240" behindDoc="0" locked="0" layoutInCell="1" allowOverlap="1" wp14:anchorId="58670ABA" wp14:editId="7F0988F0">
            <wp:simplePos x="0" y="0"/>
            <wp:positionH relativeFrom="margin">
              <wp:align>center</wp:align>
            </wp:positionH>
            <wp:positionV relativeFrom="paragraph">
              <wp:posOffset>202565</wp:posOffset>
            </wp:positionV>
            <wp:extent cx="6572885" cy="2543175"/>
            <wp:effectExtent l="0" t="0" r="0" b="9525"/>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ministration_numeriq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72885" cy="2543175"/>
                    </a:xfrm>
                    <a:prstGeom prst="rect">
                      <a:avLst/>
                    </a:prstGeom>
                  </pic:spPr>
                </pic:pic>
              </a:graphicData>
            </a:graphic>
            <wp14:sizeRelH relativeFrom="margin">
              <wp14:pctWidth>0</wp14:pctWidth>
            </wp14:sizeRelH>
            <wp14:sizeRelV relativeFrom="margin">
              <wp14:pctHeight>0</wp14:pctHeight>
            </wp14:sizeRelV>
          </wp:anchor>
        </w:drawing>
      </w:r>
    </w:p>
    <w:p w14:paraId="14973383" w14:textId="77777777" w:rsidR="005E764E" w:rsidRDefault="005E764E">
      <w:pPr>
        <w:rPr>
          <w:rFonts w:asciiTheme="majorHAnsi" w:eastAsiaTheme="majorEastAsia" w:hAnsiTheme="majorHAnsi" w:cstheme="majorBidi"/>
          <w:color w:val="2F5496" w:themeColor="accent1" w:themeShade="BF"/>
          <w:sz w:val="26"/>
          <w:szCs w:val="26"/>
        </w:rPr>
      </w:pPr>
      <w:bookmarkStart w:id="10" w:name="_Toc221536446"/>
      <w:r>
        <w:br w:type="page"/>
      </w:r>
    </w:p>
    <w:p w14:paraId="5D2BEA73" w14:textId="39267D06" w:rsidR="00CE199F" w:rsidRDefault="00CE199F" w:rsidP="00CA4264">
      <w:pPr>
        <w:pStyle w:val="Titre2"/>
      </w:pPr>
      <w:r>
        <w:lastRenderedPageBreak/>
        <w:t>Entrée des documents</w:t>
      </w:r>
      <w:bookmarkEnd w:id="10"/>
    </w:p>
    <w:p w14:paraId="00F5EDB6" w14:textId="22E1DB80" w:rsidR="000700D0" w:rsidRDefault="000700D0" w:rsidP="00CE199F">
      <w:r>
        <w:t>Pour que le système de gestion des documents fonctionne, il faut que la manière d’enregistrer les documents et les dossiers (nommer, compléter les métadonnées, etc.) soient définies clairement et adoptés par les utilisateurs.</w:t>
      </w:r>
    </w:p>
    <w:p w14:paraId="5B82762A" w14:textId="4F7421FE" w:rsidR="00CE199F" w:rsidRDefault="000700D0" w:rsidP="00CE199F">
      <w:r>
        <w:t>Les annexes suivantes visent à comporter les instructions nécessaires à l’entrée des documents :</w:t>
      </w:r>
    </w:p>
    <w:p w14:paraId="36FBFED4" w14:textId="56E09FE8" w:rsidR="00CE199F" w:rsidRDefault="00CE199F" w:rsidP="00CE199F">
      <w:proofErr w:type="gramStart"/>
      <w:r>
        <w:rPr>
          <w:rFonts w:ascii="Segoe UI Emoji" w:hAnsi="Segoe UI Emoji" w:cs="Segoe UI Emoji"/>
        </w:rPr>
        <w:t>📄</w:t>
      </w:r>
      <w:proofErr w:type="gramEnd"/>
      <w:r>
        <w:t xml:space="preserve"> </w:t>
      </w:r>
      <w:r w:rsidR="006D3087">
        <w:t>L’a</w:t>
      </w:r>
      <w:r>
        <w:t xml:space="preserve">nnexe </w:t>
      </w:r>
      <w:r w:rsidR="006D3087">
        <w:t>« </w:t>
      </w:r>
      <w:r>
        <w:t>Liste négative</w:t>
      </w:r>
      <w:r w:rsidR="006D3087">
        <w:t xml:space="preserve"> », énumère les types de données/documents qu’il ne faut pas </w:t>
      </w:r>
      <w:r w:rsidR="009F5CC2">
        <w:t xml:space="preserve">nécessairement </w:t>
      </w:r>
      <w:r w:rsidR="006D3087">
        <w:t>enregistrer dans le système de GED (invitations, ébauches, notes, documents sans lien avec l’affaire, etc.)</w:t>
      </w:r>
    </w:p>
    <w:p w14:paraId="0F9FFF92" w14:textId="293B0607" w:rsidR="00CA4264" w:rsidRDefault="00CE199F" w:rsidP="00CE199F">
      <w:proofErr w:type="gramStart"/>
      <w:r>
        <w:rPr>
          <w:rFonts w:ascii="Segoe UI Emoji" w:hAnsi="Segoe UI Emoji" w:cs="Segoe UI Emoji"/>
        </w:rPr>
        <w:t>📄</w:t>
      </w:r>
      <w:proofErr w:type="gramEnd"/>
      <w:r>
        <w:t xml:space="preserve"> </w:t>
      </w:r>
      <w:r w:rsidR="006D3087">
        <w:t>L’a</w:t>
      </w:r>
      <w:r>
        <w:t xml:space="preserve">nnexe </w:t>
      </w:r>
      <w:r w:rsidR="006D3087">
        <w:t>« </w:t>
      </w:r>
      <w:r>
        <w:t>Consignes d’enregistrement</w:t>
      </w:r>
      <w:r w:rsidR="006D3087">
        <w:t> », précise les modalités techniques de numérisation (</w:t>
      </w:r>
      <w:r w:rsidR="006D3087" w:rsidRPr="000700D0">
        <w:rPr>
          <w:i/>
        </w:rPr>
        <w:t>par ex. PDF/A résolution 300dpi</w:t>
      </w:r>
      <w:r w:rsidR="006D3087">
        <w:t>), les modalités de nommage des documents et dossier (</w:t>
      </w:r>
      <w:r w:rsidR="006D3087" w:rsidRPr="000700D0">
        <w:rPr>
          <w:i/>
        </w:rPr>
        <w:t>par ex. Nom et prénom</w:t>
      </w:r>
      <w:r w:rsidR="000700D0" w:rsidRPr="000700D0">
        <w:rPr>
          <w:i/>
        </w:rPr>
        <w:t xml:space="preserve"> – no de parcelle</w:t>
      </w:r>
      <w:r w:rsidR="000700D0">
        <w:t>) et les modalités de complétion des métadonnées (</w:t>
      </w:r>
      <w:r w:rsidR="000700D0" w:rsidRPr="000700D0">
        <w:rPr>
          <w:i/>
        </w:rPr>
        <w:t>responsable, type d’affaire, délai de conservation, etc.</w:t>
      </w:r>
      <w:r w:rsidR="000700D0">
        <w:t>).</w:t>
      </w:r>
    </w:p>
    <w:p w14:paraId="58630F49" w14:textId="77777777" w:rsidR="009F5CC2" w:rsidRDefault="009F5CC2" w:rsidP="00CE199F"/>
    <w:p w14:paraId="33A6F6E9" w14:textId="2A9C88B1" w:rsidR="00CE199F" w:rsidRDefault="00CE199F" w:rsidP="00CA4264">
      <w:pPr>
        <w:pStyle w:val="Titre2"/>
      </w:pPr>
      <w:bookmarkStart w:id="11" w:name="_Toc221536447"/>
      <w:r>
        <w:t>Traitement de</w:t>
      </w:r>
      <w:bookmarkEnd w:id="11"/>
      <w:r w:rsidR="006D3087">
        <w:t>s affaires</w:t>
      </w:r>
    </w:p>
    <w:p w14:paraId="275B1D64" w14:textId="3BA5A0A1" w:rsidR="00CE199F" w:rsidRDefault="009F5CC2" w:rsidP="00CE199F">
      <w:r>
        <w:t>Cette étape, relative à la gestion des processus internes, inclus notamment la gestion des séances et des décisions. Selon l’avancé de l’affaire, le dossier est complété, notamment par l’ajout de documents sortants (lettres, emails, etc.) et par des validations ou décisions (PV). Les champs métas donc complétés au fur et à mesure.</w:t>
      </w:r>
    </w:p>
    <w:p w14:paraId="576504B6" w14:textId="7D3BA8F8" w:rsidR="00CE199F" w:rsidRDefault="00CE199F" w:rsidP="00CE199F">
      <w:proofErr w:type="gramStart"/>
      <w:r>
        <w:rPr>
          <w:rFonts w:ascii="Segoe UI Emoji" w:hAnsi="Segoe UI Emoji" w:cs="Segoe UI Emoji"/>
        </w:rPr>
        <w:t>📄</w:t>
      </w:r>
      <w:proofErr w:type="gramEnd"/>
      <w:r>
        <w:t xml:space="preserve"> </w:t>
      </w:r>
      <w:r w:rsidR="000700D0">
        <w:t>L’a</w:t>
      </w:r>
      <w:r>
        <w:t xml:space="preserve">nnexe </w:t>
      </w:r>
      <w:r w:rsidR="000700D0">
        <w:t>« </w:t>
      </w:r>
      <w:r>
        <w:t>Liste des types d’affaires</w:t>
      </w:r>
      <w:r w:rsidR="000700D0">
        <w:t> » permet d’attribuer le processus adapté au dossier et d’assurer le suivi des étapes et des tâches tout au long du traitement des affaires (par ex. : permis de construire, délibérations, conclusion de contrat, décision formelle, etc.)</w:t>
      </w:r>
    </w:p>
    <w:p w14:paraId="31194DE7" w14:textId="77777777" w:rsidR="000700D0" w:rsidRDefault="000700D0" w:rsidP="000700D0">
      <w:proofErr w:type="gramStart"/>
      <w:r>
        <w:rPr>
          <w:rFonts w:ascii="Segoe UI Emoji" w:hAnsi="Segoe UI Emoji" w:cs="Segoe UI Emoji"/>
        </w:rPr>
        <w:t>📄</w:t>
      </w:r>
      <w:proofErr w:type="gramEnd"/>
      <w:r>
        <w:t xml:space="preserve"> L’annexe « Liste des délais de conservation » permet d’attribuer le délai adapté dans le champ méta prévu.</w:t>
      </w:r>
    </w:p>
    <w:p w14:paraId="237DF59A" w14:textId="2A52F769" w:rsidR="000700D0" w:rsidRDefault="000700D0" w:rsidP="000700D0">
      <w:r>
        <w:t xml:space="preserve">Bien entendu, selon les cas, le type d’affaire et le délai de conservation </w:t>
      </w:r>
      <w:r w:rsidR="009F5CC2">
        <w:t>peuvent</w:t>
      </w:r>
      <w:r>
        <w:t xml:space="preserve"> déjà être attribué</w:t>
      </w:r>
      <w:r w:rsidR="009F5CC2">
        <w:t>s</w:t>
      </w:r>
      <w:r>
        <w:t xml:space="preserve"> à un dossier lor</w:t>
      </w:r>
      <w:r w:rsidR="009F5CC2">
        <w:t>s de son enregistrement.</w:t>
      </w:r>
    </w:p>
    <w:p w14:paraId="4BEA4A9D" w14:textId="77777777" w:rsidR="009F5CC2" w:rsidRDefault="009F5CC2" w:rsidP="000700D0"/>
    <w:p w14:paraId="6183C7C7" w14:textId="5937965B" w:rsidR="00CE199F" w:rsidRDefault="00CE199F" w:rsidP="00CA4264">
      <w:pPr>
        <w:pStyle w:val="Titre2"/>
      </w:pPr>
      <w:bookmarkStart w:id="12" w:name="_Toc221536448"/>
      <w:r>
        <w:t xml:space="preserve">Clôture </w:t>
      </w:r>
      <w:bookmarkEnd w:id="12"/>
      <w:r w:rsidR="006D3087">
        <w:t>des affaires</w:t>
      </w:r>
    </w:p>
    <w:p w14:paraId="1794176E" w14:textId="0C1766CC" w:rsidR="00CE199F" w:rsidRDefault="00CE199F" w:rsidP="00CE199F">
      <w:r>
        <w:t>À la fin de l’affaire</w:t>
      </w:r>
      <w:r w:rsidR="009F5CC2">
        <w:t xml:space="preserve">, le dossier doit être clôturé, pour lancer la période de conservation. Les tâches suivantes sont </w:t>
      </w:r>
      <w:r w:rsidR="00077C52">
        <w:t>réalisées</w:t>
      </w:r>
      <w:r w:rsidR="009F5CC2">
        <w:t> :</w:t>
      </w:r>
    </w:p>
    <w:p w14:paraId="0E8C81AA" w14:textId="77777777" w:rsidR="009F5CC2" w:rsidRDefault="009F5CC2" w:rsidP="00CE199F">
      <w:pPr>
        <w:pStyle w:val="Paragraphedeliste"/>
        <w:numPr>
          <w:ilvl w:val="0"/>
          <w:numId w:val="17"/>
        </w:numPr>
      </w:pPr>
      <w:r>
        <w:t>Nettoyage : s</w:t>
      </w:r>
      <w:r w:rsidR="00CE199F">
        <w:t xml:space="preserve">upprimer les documents non pertinents (doubles, ébauches, </w:t>
      </w:r>
      <w:r>
        <w:t>p</w:t>
      </w:r>
      <w:r w:rsidR="00CE199F">
        <w:t>ost-it, etc.).</w:t>
      </w:r>
    </w:p>
    <w:p w14:paraId="3BA4A6A8" w14:textId="14294BBB" w:rsidR="00CE199F" w:rsidRDefault="00CE199F" w:rsidP="00CE199F">
      <w:pPr>
        <w:pStyle w:val="Paragraphedeliste"/>
        <w:numPr>
          <w:ilvl w:val="0"/>
          <w:numId w:val="17"/>
        </w:numPr>
      </w:pPr>
      <w:r>
        <w:t>Vérifier la complétude</w:t>
      </w:r>
      <w:r w:rsidR="009F5CC2">
        <w:t> : des documents et des métadonnées (valeur archivistique, délai de conservation)</w:t>
      </w:r>
    </w:p>
    <w:p w14:paraId="69643A6B" w14:textId="25CF5171" w:rsidR="009F5CC2" w:rsidRDefault="009F5CC2" w:rsidP="00CE199F">
      <w:pPr>
        <w:pStyle w:val="Paragraphedeliste"/>
        <w:numPr>
          <w:ilvl w:val="0"/>
          <w:numId w:val="17"/>
        </w:numPr>
      </w:pPr>
      <w:r>
        <w:t>Clôturer le dossier : saisir la date</w:t>
      </w:r>
    </w:p>
    <w:p w14:paraId="5A1B5C28" w14:textId="01B82264" w:rsidR="00CE199F" w:rsidRDefault="00CE199F" w:rsidP="00CE199F">
      <w:proofErr w:type="gramStart"/>
      <w:r>
        <w:rPr>
          <w:rFonts w:ascii="Segoe UI Emoji" w:hAnsi="Segoe UI Emoji" w:cs="Segoe UI Emoji"/>
        </w:rPr>
        <w:t>📄</w:t>
      </w:r>
      <w:proofErr w:type="gramEnd"/>
      <w:r>
        <w:t xml:space="preserve"> </w:t>
      </w:r>
      <w:r w:rsidR="009F5CC2">
        <w:t>L’a</w:t>
      </w:r>
      <w:r>
        <w:t xml:space="preserve">nnexe </w:t>
      </w:r>
      <w:r w:rsidR="009F5CC2">
        <w:t>« </w:t>
      </w:r>
      <w:r w:rsidR="00FC411D">
        <w:t>C</w:t>
      </w:r>
      <w:r>
        <w:t>onsignes de clôture du dossier</w:t>
      </w:r>
      <w:r w:rsidR="009F5CC2">
        <w:t> » détaille ces modalités, notamment en précisant les responsabilités.</w:t>
      </w:r>
    </w:p>
    <w:p w14:paraId="66AB4D23" w14:textId="4CFFB60B" w:rsidR="00745DC4" w:rsidRDefault="00745DC4">
      <w:r>
        <w:br w:type="page"/>
      </w:r>
    </w:p>
    <w:p w14:paraId="5E6E9902" w14:textId="0CC69D0B" w:rsidR="00CE199F" w:rsidRDefault="00CE199F" w:rsidP="00CA4264">
      <w:pPr>
        <w:pStyle w:val="Titre2"/>
      </w:pPr>
      <w:bookmarkStart w:id="13" w:name="_Toc221536449"/>
      <w:r>
        <w:lastRenderedPageBreak/>
        <w:t>Archives intermédiaires</w:t>
      </w:r>
      <w:bookmarkEnd w:id="13"/>
    </w:p>
    <w:p w14:paraId="54C02233" w14:textId="53C871DF" w:rsidR="00CE199F" w:rsidRDefault="009F5CC2" w:rsidP="009F5CC2">
      <w:r>
        <w:t xml:space="preserve">Les dossiers clos sont conservés dans le système interne GED, selon le délai de conservation. Les emplacements ou les droits d’accès peuvent être </w:t>
      </w:r>
      <w:r w:rsidR="00DF32A7">
        <w:t>spécifiques</w:t>
      </w:r>
      <w:r>
        <w:t xml:space="preserve"> selon les besoins.</w:t>
      </w:r>
    </w:p>
    <w:p w14:paraId="422092B0" w14:textId="24AF10F3" w:rsidR="00CE199F" w:rsidRDefault="00CE199F" w:rsidP="00CE199F">
      <w:proofErr w:type="gramStart"/>
      <w:r>
        <w:rPr>
          <w:rFonts w:ascii="Segoe UI Emoji" w:hAnsi="Segoe UI Emoji" w:cs="Segoe UI Emoji"/>
        </w:rPr>
        <w:t>📄</w:t>
      </w:r>
      <w:proofErr w:type="gramEnd"/>
      <w:r>
        <w:t xml:space="preserve"> </w:t>
      </w:r>
      <w:r w:rsidR="009F5CC2">
        <w:t>L’annexe « </w:t>
      </w:r>
      <w:r>
        <w:t>Gestion de l’archivage intermédiaire</w:t>
      </w:r>
      <w:r w:rsidR="009F5CC2">
        <w:t xml:space="preserve"> » </w:t>
      </w:r>
      <w:r w:rsidR="00DF32A7">
        <w:t>précise ces modalités.</w:t>
      </w:r>
    </w:p>
    <w:p w14:paraId="76A83084" w14:textId="77777777" w:rsidR="00CE199F" w:rsidRDefault="00CE199F" w:rsidP="00CE199F"/>
    <w:p w14:paraId="7E26E938" w14:textId="042F24CA" w:rsidR="00CE199F" w:rsidRDefault="006D3087" w:rsidP="00CA4264">
      <w:pPr>
        <w:pStyle w:val="Titre2"/>
      </w:pPr>
      <w:r>
        <w:t>Destruction ou versement aux archives définitives</w:t>
      </w:r>
    </w:p>
    <w:p w14:paraId="35CDFD8F" w14:textId="74266B05" w:rsidR="00CE199F" w:rsidRDefault="00CE199F" w:rsidP="00CE199F">
      <w:r>
        <w:t>À l’expiration du délai</w:t>
      </w:r>
      <w:r w:rsidR="00DF32A7">
        <w:t>, il s’agit de vérifier les données, notamment l</w:t>
      </w:r>
      <w:r>
        <w:t>a valeur archivistique</w:t>
      </w:r>
      <w:r w:rsidR="00DF32A7">
        <w:t xml:space="preserve"> :</w:t>
      </w:r>
    </w:p>
    <w:p w14:paraId="3A85264D" w14:textId="408E5035" w:rsidR="00CE199F" w:rsidRDefault="00DF32A7" w:rsidP="00DF32A7">
      <w:pPr>
        <w:pStyle w:val="Paragraphedeliste"/>
        <w:numPr>
          <w:ilvl w:val="0"/>
          <w:numId w:val="18"/>
        </w:numPr>
      </w:pPr>
      <w:r>
        <w:t>Valeur archivistique :</w:t>
      </w:r>
      <w:r w:rsidR="00CE199F">
        <w:t xml:space="preserve"> versement dans </w:t>
      </w:r>
      <w:r>
        <w:t>un</w:t>
      </w:r>
      <w:r w:rsidR="00CE199F">
        <w:t xml:space="preserve"> système d’archivage définitif </w:t>
      </w:r>
      <w:r>
        <w:t>(confirmation écrite du transfert)</w:t>
      </w:r>
    </w:p>
    <w:p w14:paraId="211B192A" w14:textId="19D66A31" w:rsidR="00CE199F" w:rsidRDefault="00DF32A7" w:rsidP="00DF32A7">
      <w:pPr>
        <w:pStyle w:val="Paragraphedeliste"/>
        <w:numPr>
          <w:ilvl w:val="0"/>
          <w:numId w:val="18"/>
        </w:numPr>
      </w:pPr>
      <w:r>
        <w:t xml:space="preserve">Pas de valeur archivistique : effacement irréversible </w:t>
      </w:r>
      <w:r w:rsidR="00CE199F">
        <w:t>(procès-verbal d’élimination).</w:t>
      </w:r>
    </w:p>
    <w:p w14:paraId="69A72328" w14:textId="5DFDB434" w:rsidR="00CE199F" w:rsidRDefault="00CE199F" w:rsidP="00CE199F">
      <w:proofErr w:type="gramStart"/>
      <w:r>
        <w:rPr>
          <w:rFonts w:ascii="Segoe UI Emoji" w:hAnsi="Segoe UI Emoji" w:cs="Segoe UI Emoji"/>
        </w:rPr>
        <w:t>📄</w:t>
      </w:r>
      <w:proofErr w:type="gramEnd"/>
      <w:r>
        <w:t xml:space="preserve"> Annexe : </w:t>
      </w:r>
      <w:r w:rsidR="00FC411D">
        <w:t>Instructions</w:t>
      </w:r>
      <w:r>
        <w:t xml:space="preserve"> versement dans les archives définitives</w:t>
      </w:r>
    </w:p>
    <w:p w14:paraId="60C55415" w14:textId="6C11C1B8" w:rsidR="00DF32A7" w:rsidRDefault="00745DC4" w:rsidP="00CE199F">
      <w:proofErr w:type="gramStart"/>
      <w:r>
        <w:rPr>
          <w:rFonts w:ascii="Segoe UI Emoji" w:hAnsi="Segoe UI Emoji" w:cs="Segoe UI Emoji"/>
        </w:rPr>
        <w:t>📄</w:t>
      </w:r>
      <w:proofErr w:type="gramEnd"/>
      <w:r>
        <w:t xml:space="preserve"> Annexe : </w:t>
      </w:r>
      <w:r w:rsidR="00FC411D">
        <w:t>Instructions</w:t>
      </w:r>
      <w:r w:rsidR="00DF32A7">
        <w:t xml:space="preserve"> effacement irréversible des dossiers</w:t>
      </w:r>
    </w:p>
    <w:p w14:paraId="4392428C" w14:textId="77777777" w:rsidR="00CA4264" w:rsidRDefault="00CA4264" w:rsidP="00CE199F"/>
    <w:p w14:paraId="1640A103" w14:textId="67F212D8" w:rsidR="00CE199F" w:rsidRDefault="00CE199F" w:rsidP="00CA4264">
      <w:pPr>
        <w:pStyle w:val="Titre1"/>
      </w:pPr>
      <w:bookmarkStart w:id="14" w:name="_Toc221536452"/>
      <w:r>
        <w:t>Contrôle de qualité</w:t>
      </w:r>
      <w:bookmarkEnd w:id="14"/>
    </w:p>
    <w:p w14:paraId="4683E23D" w14:textId="5230CBCE" w:rsidR="00CE199F" w:rsidRDefault="00DF32A7" w:rsidP="00CE199F">
      <w:r>
        <w:t>Le contrôle de qualité du système est réalisé annuellement, p</w:t>
      </w:r>
      <w:r w:rsidR="00CE199F">
        <w:t>ar le responsable GED ou un groupe interne</w:t>
      </w:r>
      <w:r>
        <w:t>, qui vérifie entre autres les dimensions suivantes : c</w:t>
      </w:r>
      <w:r w:rsidR="00CE199F">
        <w:t>omplétude des dossiers</w:t>
      </w:r>
      <w:r>
        <w:t>, s</w:t>
      </w:r>
      <w:r w:rsidR="00CE199F">
        <w:t>aisie des métadonnées</w:t>
      </w:r>
      <w:r>
        <w:t>, r</w:t>
      </w:r>
      <w:r w:rsidR="00CE199F">
        <w:t>espect des délais</w:t>
      </w:r>
      <w:r>
        <w:t>, c</w:t>
      </w:r>
      <w:r w:rsidR="00CE199F">
        <w:t>lôture des affaires</w:t>
      </w:r>
      <w:r>
        <w:t>, d</w:t>
      </w:r>
      <w:r w:rsidR="00CE199F">
        <w:t>estruction des documents expirés</w:t>
      </w:r>
      <w:r>
        <w:t>, à l’aide la checklist ci-dessous.</w:t>
      </w:r>
    </w:p>
    <w:p w14:paraId="76F2F598" w14:textId="56CCB9EE" w:rsidR="00CA4264" w:rsidRDefault="00DF32A7" w:rsidP="00CE199F">
      <w:r>
        <w:t>Le contrôle fait l’objet d’un rapport</w:t>
      </w:r>
      <w:r w:rsidR="00CE199F">
        <w:t xml:space="preserve"> transmis au Conseil communal.</w:t>
      </w:r>
    </w:p>
    <w:p w14:paraId="6B35B5FA" w14:textId="0A700EE4" w:rsidR="00DF32A7" w:rsidRDefault="00DF32A7" w:rsidP="00DF32A7">
      <w:proofErr w:type="gramStart"/>
      <w:r>
        <w:rPr>
          <w:rFonts w:ascii="Segoe UI Emoji" w:hAnsi="Segoe UI Emoji" w:cs="Segoe UI Emoji"/>
        </w:rPr>
        <w:t>📄</w:t>
      </w:r>
      <w:proofErr w:type="gramEnd"/>
      <w:r>
        <w:t xml:space="preserve"> L’annexe</w:t>
      </w:r>
      <w:r w:rsidR="00745DC4">
        <w:t xml:space="preserve"> : </w:t>
      </w:r>
      <w:r>
        <w:t>Contrôle de qualité (check-list)</w:t>
      </w:r>
    </w:p>
    <w:p w14:paraId="5183D46F" w14:textId="77777777" w:rsidR="00CA4264" w:rsidRDefault="00CA4264" w:rsidP="00CE199F"/>
    <w:p w14:paraId="0D2AA070" w14:textId="61C4AF3E" w:rsidR="00CE199F" w:rsidRDefault="00CE199F" w:rsidP="00CA4264">
      <w:pPr>
        <w:pStyle w:val="Titre1"/>
      </w:pPr>
      <w:bookmarkStart w:id="15" w:name="_Toc221536453"/>
      <w:r>
        <w:t>Entrée en vigueur et révision</w:t>
      </w:r>
      <w:bookmarkEnd w:id="15"/>
    </w:p>
    <w:p w14:paraId="3759981E" w14:textId="77777777" w:rsidR="00CE199F" w:rsidRDefault="00CE199F" w:rsidP="00CE199F">
      <w:r>
        <w:t xml:space="preserve">Entrée en vigueur : </w:t>
      </w:r>
      <w:r w:rsidRPr="00DF32A7">
        <w:rPr>
          <w:color w:val="538135" w:themeColor="accent6" w:themeShade="BF"/>
        </w:rPr>
        <w:t>[Date d’entrée en vigueur]</w:t>
      </w:r>
    </w:p>
    <w:p w14:paraId="032D8FEB" w14:textId="251394B3" w:rsidR="00CE199F" w:rsidRDefault="00CE199F" w:rsidP="00CE199F">
      <w:r>
        <w:t xml:space="preserve">Révision : Tous les </w:t>
      </w:r>
      <w:r w:rsidR="00DF32A7">
        <w:t>2</w:t>
      </w:r>
      <w:r>
        <w:t xml:space="preserve"> ans</w:t>
      </w:r>
    </w:p>
    <w:p w14:paraId="08091888" w14:textId="69732D79" w:rsidR="00DC0E98" w:rsidRDefault="00CE199F" w:rsidP="00CE199F">
      <w:r>
        <w:t>Mise à jour : Par le Conseil communal, après consultation des services.</w:t>
      </w:r>
    </w:p>
    <w:p w14:paraId="02A45C0F" w14:textId="719D0E1D" w:rsidR="00CE199F" w:rsidRDefault="00CE199F" w:rsidP="00CE199F"/>
    <w:p w14:paraId="31335D0E" w14:textId="68EEDE4F" w:rsidR="00CA4264" w:rsidRDefault="00CA4264">
      <w:r>
        <w:br w:type="page"/>
      </w:r>
    </w:p>
    <w:p w14:paraId="2DD7C7E6" w14:textId="171449F2" w:rsidR="00CE199F" w:rsidRDefault="00CE199F" w:rsidP="00CA4264">
      <w:pPr>
        <w:pStyle w:val="Titre1"/>
      </w:pPr>
      <w:bookmarkStart w:id="16" w:name="_Toc221536454"/>
      <w:r>
        <w:lastRenderedPageBreak/>
        <w:t>Liste des annexes</w:t>
      </w:r>
      <w:bookmarkEnd w:id="16"/>
    </w:p>
    <w:p w14:paraId="5728E434" w14:textId="00658755" w:rsidR="00A43AAB" w:rsidRDefault="00A43AAB" w:rsidP="00A43AAB">
      <w:r>
        <w:t>Rôles et droits d’accès (matrice)</w:t>
      </w:r>
    </w:p>
    <w:p w14:paraId="3C613BC3" w14:textId="05A9D56A" w:rsidR="00A43AAB" w:rsidRDefault="00A43AAB" w:rsidP="00A43AAB">
      <w:r>
        <w:t>Consignes d’enregistrement (titres, métadonnées, numérisation)</w:t>
      </w:r>
    </w:p>
    <w:p w14:paraId="70468A7F" w14:textId="77777777" w:rsidR="00745DC4" w:rsidRDefault="00745DC4" w:rsidP="00745DC4">
      <w:r>
        <w:t>Liste négative (documents à ne pas enregistrer)</w:t>
      </w:r>
    </w:p>
    <w:p w14:paraId="79E115AE" w14:textId="77777777" w:rsidR="00871078" w:rsidRDefault="00871078" w:rsidP="00871078">
      <w:r>
        <w:t>Liste des types d’affaires</w:t>
      </w:r>
    </w:p>
    <w:p w14:paraId="793E84F9" w14:textId="3BADD501" w:rsidR="00A43AAB" w:rsidRDefault="00CA4264" w:rsidP="00A43AAB">
      <w:r>
        <w:t>L</w:t>
      </w:r>
      <w:r w:rsidR="00A43AAB">
        <w:t>iste des délais de conservation</w:t>
      </w:r>
    </w:p>
    <w:p w14:paraId="25433CBD" w14:textId="5B439BD5" w:rsidR="00A43AAB" w:rsidRDefault="00A43AAB" w:rsidP="00A43AAB">
      <w:r>
        <w:t>Consignes de clôture du dossier (nettoyage, vérification)</w:t>
      </w:r>
    </w:p>
    <w:p w14:paraId="577727AE" w14:textId="0A7566F2" w:rsidR="00BD02E7" w:rsidRDefault="00871078" w:rsidP="00CE199F">
      <w:r>
        <w:t>Instructions</w:t>
      </w:r>
      <w:r w:rsidR="00A43AAB">
        <w:t xml:space="preserve"> de versement dans les archives définitives (format, confirmation)</w:t>
      </w:r>
    </w:p>
    <w:p w14:paraId="53EEBDEE" w14:textId="4BB9D6CC" w:rsidR="00DF32A7" w:rsidRDefault="00871078" w:rsidP="00CE199F">
      <w:r>
        <w:t>Instructions</w:t>
      </w:r>
      <w:r w:rsidR="00DF32A7">
        <w:t xml:space="preserve"> d’effacement irréversible des dossiers</w:t>
      </w:r>
    </w:p>
    <w:p w14:paraId="0517A949" w14:textId="77777777" w:rsidR="00745DC4" w:rsidRDefault="00745DC4" w:rsidP="00745DC4">
      <w:r>
        <w:t>Contrôle de qualité (check-list annuelle)</w:t>
      </w:r>
    </w:p>
    <w:p w14:paraId="51AD6C11" w14:textId="77777777" w:rsidR="00745DC4" w:rsidRDefault="00745DC4" w:rsidP="00CE199F"/>
    <w:p w14:paraId="2F1237AE" w14:textId="77777777" w:rsidR="00CA4264" w:rsidRDefault="00CA4264" w:rsidP="00CE199F"/>
    <w:p w14:paraId="368DFB41" w14:textId="600230B5" w:rsidR="00CE199F" w:rsidRPr="00CA4264" w:rsidRDefault="00CE199F" w:rsidP="00CE199F">
      <w:pPr>
        <w:rPr>
          <w:i/>
        </w:rPr>
      </w:pPr>
      <w:r w:rsidRPr="00CA4264">
        <w:rPr>
          <w:i/>
        </w:rPr>
        <w:t xml:space="preserve">Note : Les annexes sont des outils de </w:t>
      </w:r>
      <w:r w:rsidR="00A43AAB" w:rsidRPr="00CA4264">
        <w:rPr>
          <w:i/>
        </w:rPr>
        <w:t>référence</w:t>
      </w:r>
      <w:r w:rsidRPr="00CA4264">
        <w:rPr>
          <w:i/>
        </w:rPr>
        <w:t xml:space="preserve"> concrets</w:t>
      </w:r>
      <w:r w:rsidR="00A43AAB" w:rsidRPr="00CA4264">
        <w:rPr>
          <w:i/>
        </w:rPr>
        <w:t xml:space="preserve"> au quotidien</w:t>
      </w:r>
    </w:p>
    <w:sectPr w:rsidR="00CE199F" w:rsidRPr="00CA426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B403B" w14:textId="77777777" w:rsidR="00802786" w:rsidRDefault="00802786" w:rsidP="00802786">
      <w:pPr>
        <w:spacing w:after="0" w:line="240" w:lineRule="auto"/>
      </w:pPr>
      <w:r>
        <w:separator/>
      </w:r>
    </w:p>
  </w:endnote>
  <w:endnote w:type="continuationSeparator" w:id="0">
    <w:p w14:paraId="7F0ADAC7" w14:textId="77777777" w:rsidR="00802786" w:rsidRDefault="00802786" w:rsidP="00802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altName w:val="Tw Cen"/>
    <w:panose1 w:val="020B0602020104020603"/>
    <w:charset w:val="00"/>
    <w:family w:val="swiss"/>
    <w:pitch w:val="variable"/>
    <w:sig w:usb0="00000007" w:usb1="00000000" w:usb2="00000000" w:usb3="00000000" w:csb0="00000003"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FE597" w14:textId="1F061765" w:rsidR="00802786" w:rsidRDefault="00802786" w:rsidP="00802786">
    <w:pPr>
      <w:tabs>
        <w:tab w:val="right" w:pos="8931"/>
      </w:tabs>
      <w:ind w:left="-142" w:firstLine="1"/>
    </w:pPr>
    <w:r w:rsidRPr="00802786">
      <w:rPr>
        <w:rFonts w:asciiTheme="majorHAnsi" w:hAnsiTheme="majorHAnsi" w:cstheme="majorHAnsi"/>
        <w:sz w:val="20"/>
      </w:rPr>
      <w:t>Directive pour la gestion électronique des documents, affaires et archivage</w:t>
    </w:r>
    <w:r>
      <w:tab/>
      <w:t xml:space="preserve">Page </w:t>
    </w:r>
    <w:r>
      <w:fldChar w:fldCharType="begin"/>
    </w:r>
    <w:r>
      <w:instrText xml:space="preserve"> PAGE  \* Arabic  \* MERGEFORMAT </w:instrText>
    </w:r>
    <w:r>
      <w:fldChar w:fldCharType="separate"/>
    </w:r>
    <w:r>
      <w:rPr>
        <w:noProof/>
      </w:rPr>
      <w:t>1</w:t>
    </w:r>
    <w:r>
      <w:fldChar w:fldCharType="end"/>
    </w:r>
    <w:r>
      <w:t xml:space="preserve"> / </w:t>
    </w:r>
    <w:fldSimple w:instr=" NUMPAGES   \* MERGEFORMAT ">
      <w:r>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E6FA0" w14:textId="77777777" w:rsidR="00802786" w:rsidRDefault="00802786" w:rsidP="00802786">
      <w:pPr>
        <w:spacing w:after="0" w:line="240" w:lineRule="auto"/>
      </w:pPr>
      <w:r>
        <w:separator/>
      </w:r>
    </w:p>
  </w:footnote>
  <w:footnote w:type="continuationSeparator" w:id="0">
    <w:p w14:paraId="1B83CC54" w14:textId="77777777" w:rsidR="00802786" w:rsidRDefault="00802786" w:rsidP="00802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4C671E3"/>
    <w:multiLevelType w:val="hybridMultilevel"/>
    <w:tmpl w:val="63D5A8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667862"/>
    <w:multiLevelType w:val="hybridMultilevel"/>
    <w:tmpl w:val="C0C8F0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F8B5767"/>
    <w:multiLevelType w:val="hybridMultilevel"/>
    <w:tmpl w:val="276CB57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21B10BB"/>
    <w:multiLevelType w:val="hybridMultilevel"/>
    <w:tmpl w:val="AF4DBE0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90908A9"/>
    <w:multiLevelType w:val="hybridMultilevel"/>
    <w:tmpl w:val="D2E09B4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31DA3A78"/>
    <w:multiLevelType w:val="hybridMultilevel"/>
    <w:tmpl w:val="77124D5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4BC6790"/>
    <w:multiLevelType w:val="hybridMultilevel"/>
    <w:tmpl w:val="2B2804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116200A"/>
    <w:multiLevelType w:val="hybridMultilevel"/>
    <w:tmpl w:val="770A19EE"/>
    <w:lvl w:ilvl="0" w:tplc="A3A22EFA">
      <w:start w:val="2"/>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420579A5"/>
    <w:multiLevelType w:val="multilevel"/>
    <w:tmpl w:val="10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46AA36B0"/>
    <w:multiLevelType w:val="hybridMultilevel"/>
    <w:tmpl w:val="E1D6591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51B31615"/>
    <w:multiLevelType w:val="hybridMultilevel"/>
    <w:tmpl w:val="A9DE4F2A"/>
    <w:lvl w:ilvl="0" w:tplc="A3A22EFA">
      <w:start w:val="2"/>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6AE7717A"/>
    <w:multiLevelType w:val="hybridMultilevel"/>
    <w:tmpl w:val="5F0AA0F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7258EDA6"/>
    <w:multiLevelType w:val="hybridMultilevel"/>
    <w:tmpl w:val="3A54AE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4C45DB4"/>
    <w:multiLevelType w:val="hybridMultilevel"/>
    <w:tmpl w:val="F5601CCE"/>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3"/>
  </w:num>
  <w:num w:numId="5">
    <w:abstractNumId w:val="12"/>
  </w:num>
  <w:num w:numId="6">
    <w:abstractNumId w:val="9"/>
  </w:num>
  <w:num w:numId="7">
    <w:abstractNumId w:val="2"/>
  </w:num>
  <w:num w:numId="8">
    <w:abstractNumId w:val="8"/>
  </w:num>
  <w:num w:numId="9">
    <w:abstractNumId w:val="8"/>
  </w:num>
  <w:num w:numId="10">
    <w:abstractNumId w:val="8"/>
  </w:num>
  <w:num w:numId="11">
    <w:abstractNumId w:val="8"/>
  </w:num>
  <w:num w:numId="12">
    <w:abstractNumId w:val="8"/>
  </w:num>
  <w:num w:numId="13">
    <w:abstractNumId w:val="5"/>
  </w:num>
  <w:num w:numId="14">
    <w:abstractNumId w:val="13"/>
  </w:num>
  <w:num w:numId="15">
    <w:abstractNumId w:val="11"/>
  </w:num>
  <w:num w:numId="16">
    <w:abstractNumId w:val="4"/>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3FB"/>
    <w:rsid w:val="000700D0"/>
    <w:rsid w:val="00077C52"/>
    <w:rsid w:val="000A25DA"/>
    <w:rsid w:val="001407EC"/>
    <w:rsid w:val="001D1BB9"/>
    <w:rsid w:val="005E764E"/>
    <w:rsid w:val="005F23FB"/>
    <w:rsid w:val="00607055"/>
    <w:rsid w:val="006D3087"/>
    <w:rsid w:val="00745DC4"/>
    <w:rsid w:val="00802786"/>
    <w:rsid w:val="00871078"/>
    <w:rsid w:val="009C3BF5"/>
    <w:rsid w:val="009F5CC2"/>
    <w:rsid w:val="00A43AAB"/>
    <w:rsid w:val="00A63355"/>
    <w:rsid w:val="00BD02E7"/>
    <w:rsid w:val="00BD357F"/>
    <w:rsid w:val="00CA4264"/>
    <w:rsid w:val="00CE199F"/>
    <w:rsid w:val="00DC0E98"/>
    <w:rsid w:val="00DC484A"/>
    <w:rsid w:val="00DF32A7"/>
    <w:rsid w:val="00E01C40"/>
    <w:rsid w:val="00E1004B"/>
    <w:rsid w:val="00F46182"/>
    <w:rsid w:val="00FC411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F7A17"/>
  <w15:chartTrackingRefBased/>
  <w15:docId w15:val="{9D84E06E-FC0B-44E1-957C-4A2AA9A0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CA4264"/>
    <w:pPr>
      <w:keepNext/>
      <w:keepLines/>
      <w:numPr>
        <w:numId w:val="8"/>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CA4264"/>
    <w:pPr>
      <w:keepNext/>
      <w:keepLines/>
      <w:numPr>
        <w:ilvl w:val="1"/>
        <w:numId w:val="8"/>
      </w:numPr>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CA4264"/>
    <w:pPr>
      <w:keepNext/>
      <w:keepLines/>
      <w:numPr>
        <w:ilvl w:val="2"/>
        <w:numId w:val="8"/>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CA4264"/>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CA4264"/>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CA4264"/>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CA4264"/>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CA4264"/>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A4264"/>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C0E98"/>
    <w:pPr>
      <w:autoSpaceDE w:val="0"/>
      <w:autoSpaceDN w:val="0"/>
      <w:adjustRightInd w:val="0"/>
      <w:spacing w:after="0" w:line="240" w:lineRule="auto"/>
    </w:pPr>
    <w:rPr>
      <w:rFonts w:ascii="Tw Cen MT" w:hAnsi="Tw Cen MT" w:cs="Tw Cen MT"/>
      <w:color w:val="000000"/>
      <w:sz w:val="24"/>
      <w:szCs w:val="24"/>
    </w:rPr>
  </w:style>
  <w:style w:type="paragraph" w:styleId="Paragraphedeliste">
    <w:name w:val="List Paragraph"/>
    <w:basedOn w:val="Normal"/>
    <w:uiPriority w:val="34"/>
    <w:qFormat/>
    <w:rsid w:val="00CA4264"/>
    <w:pPr>
      <w:ind w:left="720"/>
      <w:contextualSpacing/>
    </w:pPr>
  </w:style>
  <w:style w:type="character" w:customStyle="1" w:styleId="Titre1Car">
    <w:name w:val="Titre 1 Car"/>
    <w:basedOn w:val="Policepardfaut"/>
    <w:link w:val="Titre1"/>
    <w:uiPriority w:val="9"/>
    <w:rsid w:val="00CA426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CA4264"/>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CA4264"/>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CA4264"/>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CA4264"/>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CA4264"/>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CA4264"/>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CA4264"/>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CA4264"/>
    <w:rPr>
      <w:rFonts w:asciiTheme="majorHAnsi" w:eastAsiaTheme="majorEastAsia" w:hAnsiTheme="majorHAnsi" w:cstheme="majorBidi"/>
      <w:i/>
      <w:iCs/>
      <w:color w:val="272727" w:themeColor="text1" w:themeTint="D8"/>
      <w:sz w:val="21"/>
      <w:szCs w:val="21"/>
    </w:rPr>
  </w:style>
  <w:style w:type="paragraph" w:styleId="TM1">
    <w:name w:val="toc 1"/>
    <w:basedOn w:val="Normal"/>
    <w:next w:val="Normal"/>
    <w:autoRedefine/>
    <w:uiPriority w:val="39"/>
    <w:unhideWhenUsed/>
    <w:rsid w:val="00E1004B"/>
    <w:pPr>
      <w:spacing w:after="100"/>
    </w:pPr>
  </w:style>
  <w:style w:type="paragraph" w:styleId="TM2">
    <w:name w:val="toc 2"/>
    <w:basedOn w:val="Normal"/>
    <w:next w:val="Normal"/>
    <w:autoRedefine/>
    <w:uiPriority w:val="39"/>
    <w:unhideWhenUsed/>
    <w:rsid w:val="00E1004B"/>
    <w:pPr>
      <w:spacing w:after="100"/>
      <w:ind w:left="220"/>
    </w:pPr>
  </w:style>
  <w:style w:type="character" w:styleId="Lienhypertexte">
    <w:name w:val="Hyperlink"/>
    <w:basedOn w:val="Policepardfaut"/>
    <w:uiPriority w:val="99"/>
    <w:unhideWhenUsed/>
    <w:rsid w:val="00E1004B"/>
    <w:rPr>
      <w:color w:val="0563C1" w:themeColor="hyperlink"/>
      <w:u w:val="single"/>
    </w:rPr>
  </w:style>
  <w:style w:type="paragraph" w:styleId="En-tte">
    <w:name w:val="header"/>
    <w:basedOn w:val="Normal"/>
    <w:link w:val="En-tteCar"/>
    <w:uiPriority w:val="99"/>
    <w:unhideWhenUsed/>
    <w:rsid w:val="00802786"/>
    <w:pPr>
      <w:tabs>
        <w:tab w:val="center" w:pos="4513"/>
        <w:tab w:val="right" w:pos="9026"/>
      </w:tabs>
      <w:spacing w:after="0" w:line="240" w:lineRule="auto"/>
    </w:pPr>
  </w:style>
  <w:style w:type="character" w:customStyle="1" w:styleId="En-tteCar">
    <w:name w:val="En-tête Car"/>
    <w:basedOn w:val="Policepardfaut"/>
    <w:link w:val="En-tte"/>
    <w:uiPriority w:val="99"/>
    <w:rsid w:val="00802786"/>
  </w:style>
  <w:style w:type="paragraph" w:styleId="Pieddepage">
    <w:name w:val="footer"/>
    <w:basedOn w:val="Normal"/>
    <w:link w:val="PieddepageCar"/>
    <w:uiPriority w:val="99"/>
    <w:unhideWhenUsed/>
    <w:rsid w:val="00802786"/>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02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65011">
      <w:bodyDiv w:val="1"/>
      <w:marLeft w:val="0"/>
      <w:marRight w:val="0"/>
      <w:marTop w:val="0"/>
      <w:marBottom w:val="0"/>
      <w:divBdr>
        <w:top w:val="none" w:sz="0" w:space="0" w:color="auto"/>
        <w:left w:val="none" w:sz="0" w:space="0" w:color="auto"/>
        <w:bottom w:val="none" w:sz="0" w:space="0" w:color="auto"/>
        <w:right w:val="none" w:sz="0" w:space="0" w:color="auto"/>
      </w:divBdr>
      <w:divsChild>
        <w:div w:id="35275424">
          <w:blockQuote w:val="1"/>
          <w:marLeft w:val="0"/>
          <w:marRight w:val="0"/>
          <w:marTop w:val="0"/>
          <w:marBottom w:val="0"/>
          <w:divBdr>
            <w:top w:val="single" w:sz="2" w:space="0" w:color="auto"/>
            <w:left w:val="single" w:sz="2" w:space="0" w:color="auto"/>
            <w:bottom w:val="single" w:sz="2" w:space="0" w:color="auto"/>
            <w:right w:val="single" w:sz="2" w:space="0" w:color="auto"/>
          </w:divBdr>
        </w:div>
      </w:divsChild>
    </w:div>
    <w:div w:id="411244350">
      <w:bodyDiv w:val="1"/>
      <w:marLeft w:val="0"/>
      <w:marRight w:val="0"/>
      <w:marTop w:val="0"/>
      <w:marBottom w:val="0"/>
      <w:divBdr>
        <w:top w:val="none" w:sz="0" w:space="0" w:color="auto"/>
        <w:left w:val="none" w:sz="0" w:space="0" w:color="auto"/>
        <w:bottom w:val="none" w:sz="0" w:space="0" w:color="auto"/>
        <w:right w:val="none" w:sz="0" w:space="0" w:color="auto"/>
      </w:divBdr>
      <w:divsChild>
        <w:div w:id="2080008037">
          <w:blockQuote w:val="1"/>
          <w:marLeft w:val="0"/>
          <w:marRight w:val="0"/>
          <w:marTop w:val="0"/>
          <w:marBottom w:val="0"/>
          <w:divBdr>
            <w:top w:val="single" w:sz="2" w:space="0" w:color="auto"/>
            <w:left w:val="single" w:sz="2" w:space="0" w:color="auto"/>
            <w:bottom w:val="single" w:sz="2" w:space="0" w:color="auto"/>
            <w:right w:val="single" w:sz="2" w:space="0" w:color="auto"/>
          </w:divBdr>
        </w:div>
        <w:div w:id="661853745">
          <w:blockQuote w:val="1"/>
          <w:marLeft w:val="0"/>
          <w:marRight w:val="0"/>
          <w:marTop w:val="0"/>
          <w:marBottom w:val="0"/>
          <w:divBdr>
            <w:top w:val="single" w:sz="2" w:space="0" w:color="auto"/>
            <w:left w:val="single" w:sz="2" w:space="0" w:color="auto"/>
            <w:bottom w:val="single" w:sz="2" w:space="0" w:color="auto"/>
            <w:right w:val="single" w:sz="2" w:space="0" w:color="auto"/>
          </w:divBdr>
        </w:div>
        <w:div w:id="2103069542">
          <w:blockQuote w:val="1"/>
          <w:marLeft w:val="0"/>
          <w:marRight w:val="0"/>
          <w:marTop w:val="0"/>
          <w:marBottom w:val="0"/>
          <w:divBdr>
            <w:top w:val="single" w:sz="2" w:space="0" w:color="auto"/>
            <w:left w:val="single" w:sz="2" w:space="0" w:color="auto"/>
            <w:bottom w:val="single" w:sz="2" w:space="0" w:color="auto"/>
            <w:right w:val="single" w:sz="2" w:space="0" w:color="auto"/>
          </w:divBdr>
        </w:div>
        <w:div w:id="748963242">
          <w:blockQuote w:val="1"/>
          <w:marLeft w:val="0"/>
          <w:marRight w:val="0"/>
          <w:marTop w:val="0"/>
          <w:marBottom w:val="0"/>
          <w:divBdr>
            <w:top w:val="single" w:sz="2" w:space="0" w:color="auto"/>
            <w:left w:val="single" w:sz="2" w:space="0" w:color="auto"/>
            <w:bottom w:val="single" w:sz="2" w:space="0" w:color="auto"/>
            <w:right w:val="single" w:sz="2" w:space="0" w:color="auto"/>
          </w:divBdr>
        </w:div>
        <w:div w:id="1730226140">
          <w:blockQuote w:val="1"/>
          <w:marLeft w:val="0"/>
          <w:marRight w:val="0"/>
          <w:marTop w:val="0"/>
          <w:marBottom w:val="0"/>
          <w:divBdr>
            <w:top w:val="single" w:sz="2" w:space="0" w:color="auto"/>
            <w:left w:val="single" w:sz="2" w:space="0" w:color="auto"/>
            <w:bottom w:val="single" w:sz="2" w:space="0" w:color="auto"/>
            <w:right w:val="single" w:sz="2" w:space="0" w:color="auto"/>
          </w:divBdr>
        </w:div>
        <w:div w:id="785008582">
          <w:blockQuote w:val="1"/>
          <w:marLeft w:val="0"/>
          <w:marRight w:val="0"/>
          <w:marTop w:val="0"/>
          <w:marBottom w:val="0"/>
          <w:divBdr>
            <w:top w:val="single" w:sz="2" w:space="0" w:color="auto"/>
            <w:left w:val="single" w:sz="2" w:space="0" w:color="auto"/>
            <w:bottom w:val="single" w:sz="2" w:space="0" w:color="auto"/>
            <w:right w:val="single" w:sz="2" w:space="0" w:color="auto"/>
          </w:divBdr>
        </w:div>
        <w:div w:id="509179347">
          <w:blockQuote w:val="1"/>
          <w:marLeft w:val="0"/>
          <w:marRight w:val="0"/>
          <w:marTop w:val="0"/>
          <w:marBottom w:val="0"/>
          <w:divBdr>
            <w:top w:val="single" w:sz="2" w:space="0" w:color="auto"/>
            <w:left w:val="single" w:sz="2" w:space="0" w:color="auto"/>
            <w:bottom w:val="single" w:sz="2" w:space="0" w:color="auto"/>
            <w:right w:val="single" w:sz="2" w:space="0" w:color="auto"/>
          </w:divBdr>
        </w:div>
        <w:div w:id="1698847002">
          <w:blockQuote w:val="1"/>
          <w:marLeft w:val="0"/>
          <w:marRight w:val="0"/>
          <w:marTop w:val="0"/>
          <w:marBottom w:val="0"/>
          <w:divBdr>
            <w:top w:val="single" w:sz="2" w:space="0" w:color="auto"/>
            <w:left w:val="single" w:sz="2" w:space="0" w:color="auto"/>
            <w:bottom w:val="single" w:sz="2" w:space="0" w:color="auto"/>
            <w:right w:val="single" w:sz="2" w:space="0" w:color="auto"/>
          </w:divBdr>
        </w:div>
        <w:div w:id="2519692">
          <w:marLeft w:val="0"/>
          <w:marRight w:val="0"/>
          <w:marTop w:val="0"/>
          <w:marBottom w:val="180"/>
          <w:divBdr>
            <w:top w:val="none" w:sz="0" w:space="0" w:color="auto"/>
            <w:left w:val="none" w:sz="0" w:space="0" w:color="auto"/>
            <w:bottom w:val="none" w:sz="0" w:space="0" w:color="auto"/>
            <w:right w:val="none" w:sz="0" w:space="0" w:color="auto"/>
          </w:divBdr>
        </w:div>
        <w:div w:id="515191544">
          <w:blockQuote w:val="1"/>
          <w:marLeft w:val="0"/>
          <w:marRight w:val="0"/>
          <w:marTop w:val="0"/>
          <w:marBottom w:val="0"/>
          <w:divBdr>
            <w:top w:val="single" w:sz="2" w:space="0" w:color="auto"/>
            <w:left w:val="single" w:sz="2" w:space="0" w:color="auto"/>
            <w:bottom w:val="single" w:sz="2" w:space="0" w:color="auto"/>
            <w:right w:val="single" w:sz="2" w:space="0" w:color="auto"/>
          </w:divBdr>
        </w:div>
        <w:div w:id="1659992769">
          <w:blockQuote w:val="1"/>
          <w:marLeft w:val="0"/>
          <w:marRight w:val="0"/>
          <w:marTop w:val="0"/>
          <w:marBottom w:val="0"/>
          <w:divBdr>
            <w:top w:val="single" w:sz="2" w:space="0" w:color="auto"/>
            <w:left w:val="single" w:sz="2" w:space="0" w:color="auto"/>
            <w:bottom w:val="single" w:sz="2" w:space="0" w:color="auto"/>
            <w:right w:val="single" w:sz="2" w:space="0" w:color="auto"/>
          </w:divBdr>
        </w:div>
        <w:div w:id="126973642">
          <w:blockQuote w:val="1"/>
          <w:marLeft w:val="0"/>
          <w:marRight w:val="0"/>
          <w:marTop w:val="0"/>
          <w:marBottom w:val="0"/>
          <w:divBdr>
            <w:top w:val="single" w:sz="2" w:space="0" w:color="auto"/>
            <w:left w:val="single" w:sz="2" w:space="0" w:color="auto"/>
            <w:bottom w:val="single" w:sz="2" w:space="0" w:color="auto"/>
            <w:right w:val="single" w:sz="2" w:space="0" w:color="auto"/>
          </w:divBdr>
        </w:div>
        <w:div w:id="1604806126">
          <w:blockQuote w:val="1"/>
          <w:marLeft w:val="0"/>
          <w:marRight w:val="0"/>
          <w:marTop w:val="0"/>
          <w:marBottom w:val="0"/>
          <w:divBdr>
            <w:top w:val="single" w:sz="2" w:space="0" w:color="auto"/>
            <w:left w:val="single" w:sz="2" w:space="0" w:color="auto"/>
            <w:bottom w:val="single" w:sz="2" w:space="0" w:color="auto"/>
            <w:right w:val="single" w:sz="2" w:space="0" w:color="auto"/>
          </w:divBdr>
        </w:div>
        <w:div w:id="1407000277">
          <w:blockQuote w:val="1"/>
          <w:marLeft w:val="0"/>
          <w:marRight w:val="0"/>
          <w:marTop w:val="0"/>
          <w:marBottom w:val="0"/>
          <w:divBdr>
            <w:top w:val="single" w:sz="2" w:space="0" w:color="auto"/>
            <w:left w:val="single" w:sz="2" w:space="0" w:color="auto"/>
            <w:bottom w:val="single" w:sz="2" w:space="0" w:color="auto"/>
            <w:right w:val="single" w:sz="2" w:space="0" w:color="auto"/>
          </w:divBdr>
        </w:div>
        <w:div w:id="1772429811">
          <w:blockQuote w:val="1"/>
          <w:marLeft w:val="0"/>
          <w:marRight w:val="0"/>
          <w:marTop w:val="0"/>
          <w:marBottom w:val="0"/>
          <w:divBdr>
            <w:top w:val="single" w:sz="2" w:space="0" w:color="auto"/>
            <w:left w:val="single" w:sz="2" w:space="0" w:color="auto"/>
            <w:bottom w:val="single" w:sz="2" w:space="0" w:color="auto"/>
            <w:right w:val="single" w:sz="2" w:space="0" w:color="auto"/>
          </w:divBdr>
        </w:div>
        <w:div w:id="732654252">
          <w:blockQuote w:val="1"/>
          <w:marLeft w:val="0"/>
          <w:marRight w:val="0"/>
          <w:marTop w:val="0"/>
          <w:marBottom w:val="0"/>
          <w:divBdr>
            <w:top w:val="single" w:sz="2" w:space="0" w:color="auto"/>
            <w:left w:val="single" w:sz="2" w:space="0" w:color="auto"/>
            <w:bottom w:val="single" w:sz="2" w:space="0" w:color="auto"/>
            <w:right w:val="single" w:sz="2" w:space="0" w:color="auto"/>
          </w:divBdr>
        </w:div>
        <w:div w:id="7105664">
          <w:blockQuote w:val="1"/>
          <w:marLeft w:val="0"/>
          <w:marRight w:val="0"/>
          <w:marTop w:val="0"/>
          <w:marBottom w:val="0"/>
          <w:divBdr>
            <w:top w:val="single" w:sz="2" w:space="0" w:color="auto"/>
            <w:left w:val="single" w:sz="2" w:space="0" w:color="auto"/>
            <w:bottom w:val="single" w:sz="2" w:space="0" w:color="auto"/>
            <w:right w:val="single" w:sz="2" w:space="0" w:color="auto"/>
          </w:divBdr>
        </w:div>
        <w:div w:id="2027559836">
          <w:blockQuote w:val="1"/>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B95BD-073C-4153-9DC2-C9949AE4B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1418</Words>
  <Characters>7802</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Beer</dc:creator>
  <cp:keywords/>
  <dc:description/>
  <cp:lastModifiedBy>Denis Beer</cp:lastModifiedBy>
  <cp:revision>16</cp:revision>
  <dcterms:created xsi:type="dcterms:W3CDTF">2026-02-02T15:20:00Z</dcterms:created>
  <dcterms:modified xsi:type="dcterms:W3CDTF">2026-02-09T14:15:00Z</dcterms:modified>
</cp:coreProperties>
</file>